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Arial" w:hAnsi="Arial" w:cs="Arial"/>
          <w:i w:val="0"/>
          <w:caps w:val="0"/>
          <w:color w:val="108B9D"/>
          <w:spacing w:val="0"/>
          <w:sz w:val="48"/>
          <w:szCs w:val="48"/>
          <w:shd w:val="clear" w:fill="FFFFFF"/>
        </w:rPr>
      </w:pPr>
      <w:r>
        <w:rPr>
          <w:rFonts w:hint="default" w:ascii="Arial" w:hAnsi="Arial" w:cs="Arial"/>
          <w:i w:val="0"/>
          <w:caps w:val="0"/>
          <w:color w:val="108B9D"/>
          <w:spacing w:val="0"/>
          <w:sz w:val="48"/>
          <w:szCs w:val="48"/>
          <w:shd w:val="clear" w:fill="FFFFFF"/>
        </w:rPr>
        <w:t>房地產中介人須知</w:t>
      </w:r>
    </w:p>
    <w:p>
      <w:pPr>
        <w:rPr>
          <w:rFonts w:hint="default" w:eastAsiaTheme="minorEastAsia"/>
          <w:b/>
          <w:bCs/>
          <w:sz w:val="28"/>
          <w:szCs w:val="28"/>
          <w:lang w:val="en-US" w:eastAsia="zh-CN"/>
        </w:rPr>
      </w:pPr>
      <w:r>
        <w:rPr>
          <w:rFonts w:hint="eastAsia"/>
          <w:b/>
          <w:bCs/>
          <w:sz w:val="28"/>
          <w:szCs w:val="28"/>
          <w:lang w:val="en-US" w:eastAsia="zh-CN"/>
        </w:rPr>
        <w:t>房地產中介人須知（房地產中介業務法）</w:t>
      </w:r>
    </w:p>
    <w:p>
      <w:pPr>
        <w:spacing w:before="0" w:line="443" w:lineRule="exact"/>
        <w:ind w:left="1069" w:right="2165" w:firstLine="0"/>
        <w:jc w:val="center"/>
        <w:rPr>
          <w:rFonts w:hint="eastAsia" w:ascii="Microsoft JhengHei" w:eastAsia="Microsoft JhengHei"/>
          <w:b/>
          <w:sz w:val="28"/>
        </w:rPr>
      </w:pPr>
    </w:p>
    <w:p>
      <w:pPr>
        <w:spacing w:before="0" w:line="443" w:lineRule="exact"/>
        <w:ind w:left="1069" w:right="2165" w:firstLine="0"/>
        <w:jc w:val="center"/>
        <w:rPr>
          <w:rFonts w:hint="eastAsia" w:ascii="Microsoft JhengHei" w:eastAsia="Microsoft JhengHei"/>
          <w:b/>
          <w:sz w:val="28"/>
        </w:rPr>
      </w:pPr>
      <w:r>
        <w:rPr>
          <w:rFonts w:hint="eastAsia" w:ascii="Microsoft JhengHei" w:eastAsia="Microsoft JhengHei"/>
          <w:b/>
          <w:sz w:val="28"/>
        </w:rPr>
        <w:t>房地產中介人須知</w:t>
      </w:r>
    </w:p>
    <w:p>
      <w:pPr>
        <w:spacing w:before="158"/>
        <w:ind w:left="1071" w:right="2165" w:firstLine="0"/>
        <w:jc w:val="center"/>
        <w:rPr>
          <w:rFonts w:ascii="Times New Roman" w:eastAsia="Times New Roman"/>
          <w:sz w:val="22"/>
        </w:rPr>
      </w:pPr>
      <w:r>
        <w:rPr>
          <w:rFonts w:ascii="Times New Roman" w:eastAsia="Times New Roman"/>
          <w:sz w:val="22"/>
        </w:rPr>
        <w:t xml:space="preserve">( </w:t>
      </w:r>
      <w:r>
        <w:rPr>
          <w:sz w:val="22"/>
        </w:rPr>
        <w:t xml:space="preserve">經第 </w:t>
      </w:r>
      <w:r>
        <w:rPr>
          <w:rFonts w:ascii="Times New Roman" w:eastAsia="Times New Roman"/>
          <w:sz w:val="22"/>
        </w:rPr>
        <w:t xml:space="preserve">7/2014 </w:t>
      </w:r>
      <w:r>
        <w:rPr>
          <w:sz w:val="22"/>
        </w:rPr>
        <w:t xml:space="preserve">號法律修改的第 </w:t>
      </w:r>
      <w:r>
        <w:rPr>
          <w:rFonts w:ascii="Times New Roman" w:eastAsia="Times New Roman"/>
          <w:sz w:val="22"/>
        </w:rPr>
        <w:t xml:space="preserve">16/2012  </w:t>
      </w:r>
      <w:r>
        <w:rPr>
          <w:sz w:val="22"/>
        </w:rPr>
        <w:t>號法律《房地產中介業務法》</w:t>
      </w:r>
      <w:r>
        <w:rPr>
          <w:rFonts w:ascii="Times New Roman" w:eastAsia="Times New Roman"/>
          <w:sz w:val="22"/>
        </w:rPr>
        <w:t>)</w:t>
      </w:r>
    </w:p>
    <w:p>
      <w:pPr>
        <w:pStyle w:val="3"/>
        <w:rPr>
          <w:rFonts w:ascii="Times New Roman"/>
          <w:sz w:val="20"/>
        </w:rPr>
      </w:pPr>
    </w:p>
    <w:p>
      <w:pPr>
        <w:pStyle w:val="2"/>
        <w:spacing w:before="88"/>
      </w:pPr>
      <w:r>
        <w:t>定義</w:t>
      </w:r>
    </w:p>
    <w:p>
      <w:pPr>
        <w:pStyle w:val="3"/>
        <w:spacing w:before="6"/>
        <w:rPr>
          <w:rFonts w:ascii="Microsoft JhengHei"/>
          <w:b/>
          <w:sz w:val="13"/>
        </w:rPr>
      </w:pPr>
    </w:p>
    <w:p>
      <w:pPr>
        <w:pStyle w:val="7"/>
        <w:numPr>
          <w:ilvl w:val="0"/>
          <w:numId w:val="1"/>
        </w:numPr>
        <w:tabs>
          <w:tab w:val="left" w:pos="522"/>
        </w:tabs>
        <w:spacing w:before="0" w:after="0" w:line="285" w:lineRule="auto"/>
        <w:ind w:left="521" w:right="1257" w:hanging="360"/>
        <w:jc w:val="left"/>
        <w:rPr>
          <w:sz w:val="24"/>
        </w:rPr>
      </w:pPr>
      <w:r>
        <w:rPr>
          <w:spacing w:val="-5"/>
          <w:sz w:val="24"/>
        </w:rPr>
        <w:t>房地產中介業務：為着客戶的利益透過房地產中介合同，促成他人訂立以下法</w:t>
      </w:r>
      <w:r>
        <w:rPr>
          <w:sz w:val="24"/>
        </w:rPr>
        <w:t>律行為的商業活動：</w:t>
      </w:r>
    </w:p>
    <w:p>
      <w:pPr>
        <w:pStyle w:val="7"/>
        <w:numPr>
          <w:ilvl w:val="1"/>
          <w:numId w:val="1"/>
        </w:numPr>
        <w:tabs>
          <w:tab w:val="left" w:pos="1121"/>
        </w:tabs>
        <w:spacing w:before="3" w:after="0" w:line="240" w:lineRule="auto"/>
        <w:ind w:left="1120" w:right="0" w:hanging="602"/>
        <w:jc w:val="left"/>
        <w:rPr>
          <w:sz w:val="24"/>
        </w:rPr>
      </w:pPr>
      <w:r>
        <w:rPr>
          <w:sz w:val="24"/>
        </w:rPr>
        <w:t>取得或轉讓不動產物權；</w:t>
      </w:r>
    </w:p>
    <w:p>
      <w:pPr>
        <w:pStyle w:val="7"/>
        <w:numPr>
          <w:ilvl w:val="1"/>
          <w:numId w:val="1"/>
        </w:numPr>
        <w:tabs>
          <w:tab w:val="left" w:pos="1121"/>
        </w:tabs>
        <w:spacing w:before="63" w:after="0" w:line="240" w:lineRule="auto"/>
        <w:ind w:left="1120" w:right="0" w:hanging="602"/>
        <w:jc w:val="left"/>
        <w:rPr>
          <w:sz w:val="24"/>
        </w:rPr>
      </w:pPr>
      <w:r>
        <w:rPr>
          <w:sz w:val="24"/>
        </w:rPr>
        <w:t>不動產租賃；</w:t>
      </w:r>
    </w:p>
    <w:p>
      <w:pPr>
        <w:pStyle w:val="7"/>
        <w:numPr>
          <w:ilvl w:val="1"/>
          <w:numId w:val="1"/>
        </w:numPr>
        <w:tabs>
          <w:tab w:val="left" w:pos="1121"/>
        </w:tabs>
        <w:spacing w:before="66" w:after="0" w:line="240" w:lineRule="auto"/>
        <w:ind w:left="1120" w:right="0" w:hanging="602"/>
        <w:jc w:val="left"/>
        <w:rPr>
          <w:sz w:val="24"/>
        </w:rPr>
      </w:pPr>
      <w:r>
        <w:rPr>
          <w:sz w:val="24"/>
        </w:rPr>
        <w:t>商業或工業場所的取得或轉讓；</w:t>
      </w:r>
    </w:p>
    <w:p>
      <w:pPr>
        <w:pStyle w:val="7"/>
        <w:numPr>
          <w:ilvl w:val="1"/>
          <w:numId w:val="1"/>
        </w:numPr>
        <w:tabs>
          <w:tab w:val="left" w:pos="1121"/>
        </w:tabs>
        <w:spacing w:before="65" w:after="0" w:line="240" w:lineRule="auto"/>
        <w:ind w:left="1120" w:right="0" w:hanging="602"/>
        <w:jc w:val="left"/>
        <w:rPr>
          <w:sz w:val="24"/>
        </w:rPr>
      </w:pPr>
      <w:r>
        <w:rPr>
          <w:sz w:val="24"/>
        </w:rPr>
        <w:t>合同地位的讓與，而該合同的標的物為不動產，不論其形式為何。</w:t>
      </w:r>
    </w:p>
    <w:p>
      <w:pPr>
        <w:pStyle w:val="3"/>
        <w:spacing w:before="5"/>
        <w:rPr>
          <w:sz w:val="17"/>
        </w:rPr>
      </w:pPr>
    </w:p>
    <w:p>
      <w:pPr>
        <w:pStyle w:val="7"/>
        <w:numPr>
          <w:ilvl w:val="0"/>
          <w:numId w:val="1"/>
        </w:numPr>
        <w:tabs>
          <w:tab w:val="left" w:pos="522"/>
        </w:tabs>
        <w:spacing w:before="0" w:after="0" w:line="240" w:lineRule="auto"/>
        <w:ind w:left="522" w:right="0" w:hanging="360"/>
        <w:jc w:val="left"/>
        <w:rPr>
          <w:sz w:val="24"/>
        </w:rPr>
      </w:pPr>
      <w:r>
        <w:rPr>
          <w:sz w:val="24"/>
        </w:rPr>
        <w:t>上點所指的商業活動尤其包括：</w:t>
      </w:r>
    </w:p>
    <w:p>
      <w:pPr>
        <w:pStyle w:val="7"/>
        <w:numPr>
          <w:ilvl w:val="0"/>
          <w:numId w:val="2"/>
        </w:numPr>
        <w:tabs>
          <w:tab w:val="left" w:pos="1121"/>
        </w:tabs>
        <w:spacing w:before="65" w:after="0" w:line="240" w:lineRule="auto"/>
        <w:ind w:left="1120" w:right="0" w:hanging="602"/>
        <w:jc w:val="left"/>
        <w:rPr>
          <w:sz w:val="24"/>
        </w:rPr>
      </w:pPr>
      <w:r>
        <w:rPr>
          <w:sz w:val="24"/>
        </w:rPr>
        <w:t>藉參觀、宣傳、刊登廣告或協商，推介客戶的不動產；</w:t>
      </w:r>
    </w:p>
    <w:p>
      <w:pPr>
        <w:pStyle w:val="7"/>
        <w:numPr>
          <w:ilvl w:val="0"/>
          <w:numId w:val="2"/>
        </w:numPr>
        <w:tabs>
          <w:tab w:val="left" w:pos="1121"/>
        </w:tabs>
        <w:spacing w:before="65" w:after="0" w:line="240" w:lineRule="auto"/>
        <w:ind w:left="1120" w:right="0" w:hanging="602"/>
        <w:jc w:val="left"/>
        <w:rPr>
          <w:sz w:val="24"/>
        </w:rPr>
      </w:pPr>
      <w:r>
        <w:rPr>
          <w:sz w:val="24"/>
        </w:rPr>
        <w:t>藉刊登廣告或收集訊息，搜尋符合客戶要求的不動產。</w:t>
      </w:r>
    </w:p>
    <w:p>
      <w:pPr>
        <w:pStyle w:val="3"/>
        <w:spacing w:before="5"/>
        <w:rPr>
          <w:sz w:val="17"/>
        </w:rPr>
      </w:pPr>
    </w:p>
    <w:p>
      <w:pPr>
        <w:pStyle w:val="7"/>
        <w:numPr>
          <w:ilvl w:val="0"/>
          <w:numId w:val="1"/>
        </w:numPr>
        <w:tabs>
          <w:tab w:val="left" w:pos="522"/>
        </w:tabs>
        <w:spacing w:before="0" w:after="0" w:line="285" w:lineRule="auto"/>
        <w:ind w:left="521" w:right="1258" w:hanging="360"/>
        <w:jc w:val="left"/>
        <w:rPr>
          <w:sz w:val="24"/>
        </w:rPr>
      </w:pPr>
      <w:r>
        <w:rPr>
          <w:spacing w:val="-4"/>
          <w:sz w:val="24"/>
        </w:rPr>
        <w:t>房地產中介合同：房地產中介人與客戶訂立房地產中介範疇內的有償提供勞務</w:t>
      </w:r>
      <w:r>
        <w:rPr>
          <w:sz w:val="24"/>
        </w:rPr>
        <w:t>合同，當中尤其訂定雙方的權利及義務。</w:t>
      </w:r>
    </w:p>
    <w:p>
      <w:pPr>
        <w:pStyle w:val="7"/>
        <w:numPr>
          <w:ilvl w:val="0"/>
          <w:numId w:val="1"/>
        </w:numPr>
        <w:tabs>
          <w:tab w:val="left" w:pos="522"/>
        </w:tabs>
        <w:spacing w:before="184" w:after="0" w:line="240" w:lineRule="auto"/>
        <w:ind w:left="522" w:right="0" w:hanging="360"/>
        <w:jc w:val="left"/>
        <w:rPr>
          <w:sz w:val="24"/>
        </w:rPr>
      </w:pPr>
      <w:r>
        <w:rPr>
          <w:sz w:val="24"/>
        </w:rPr>
        <w:t>房地產中介人：具備相應的有效准照而從事房地產中介業務的商業企業主。</w:t>
      </w:r>
    </w:p>
    <w:p>
      <w:pPr>
        <w:pStyle w:val="3"/>
        <w:spacing w:before="4"/>
        <w:rPr>
          <w:sz w:val="17"/>
        </w:rPr>
      </w:pPr>
    </w:p>
    <w:p>
      <w:pPr>
        <w:pStyle w:val="7"/>
        <w:numPr>
          <w:ilvl w:val="0"/>
          <w:numId w:val="1"/>
        </w:numPr>
        <w:tabs>
          <w:tab w:val="left" w:pos="522"/>
        </w:tabs>
        <w:spacing w:before="1" w:after="0" w:line="285" w:lineRule="auto"/>
        <w:ind w:left="521" w:right="1256" w:hanging="360"/>
        <w:jc w:val="both"/>
        <w:rPr>
          <w:sz w:val="24"/>
        </w:rPr>
      </w:pPr>
      <w:r>
        <w:rPr>
          <w:spacing w:val="-4"/>
          <w:sz w:val="24"/>
        </w:rPr>
        <w:t>房地產經紀：具備相應的有效准照，為房地產中介人的利益及以其名義，尤其</w:t>
      </w:r>
      <w:r>
        <w:rPr>
          <w:spacing w:val="-3"/>
          <w:sz w:val="24"/>
        </w:rPr>
        <w:t>是以僱員、行政管理機關成員、董事、經理或輔助人員身份，從事房地產中介業務的自然人。</w:t>
      </w:r>
    </w:p>
    <w:p>
      <w:pPr>
        <w:pStyle w:val="7"/>
        <w:numPr>
          <w:ilvl w:val="0"/>
          <w:numId w:val="1"/>
        </w:numPr>
        <w:tabs>
          <w:tab w:val="left" w:pos="522"/>
        </w:tabs>
        <w:spacing w:before="181" w:after="0" w:line="240" w:lineRule="auto"/>
        <w:ind w:left="522" w:right="0" w:hanging="360"/>
        <w:jc w:val="both"/>
        <w:rPr>
          <w:sz w:val="24"/>
        </w:rPr>
      </w:pPr>
      <w:r>
        <w:rPr>
          <w:sz w:val="24"/>
        </w:rPr>
        <w:t>商業營業場所：供房地產中介人及其房地產經紀從事房地產中介業務的設施。</w:t>
      </w:r>
    </w:p>
    <w:p>
      <w:pPr>
        <w:pStyle w:val="3"/>
        <w:spacing w:before="8"/>
        <w:rPr>
          <w:sz w:val="17"/>
        </w:rPr>
      </w:pPr>
    </w:p>
    <w:p>
      <w:pPr>
        <w:pStyle w:val="7"/>
        <w:numPr>
          <w:ilvl w:val="0"/>
          <w:numId w:val="1"/>
        </w:numPr>
        <w:tabs>
          <w:tab w:val="left" w:pos="522"/>
        </w:tabs>
        <w:spacing w:before="0" w:after="0" w:line="240" w:lineRule="auto"/>
        <w:ind w:left="522" w:right="0" w:hanging="360"/>
        <w:jc w:val="both"/>
        <w:rPr>
          <w:sz w:val="24"/>
        </w:rPr>
      </w:pPr>
      <w:r>
        <w:rPr>
          <w:sz w:val="24"/>
        </w:rPr>
        <w:t>客戶：與房地產中介人訂立房地產中介合同的自然人或法人。</w:t>
      </w:r>
    </w:p>
    <w:p>
      <w:pPr>
        <w:pStyle w:val="3"/>
        <w:spacing w:before="12"/>
        <w:rPr>
          <w:sz w:val="32"/>
        </w:rPr>
      </w:pPr>
    </w:p>
    <w:p>
      <w:pPr>
        <w:pStyle w:val="2"/>
      </w:pPr>
      <w:r>
        <w:t>專屬性</w:t>
      </w:r>
    </w:p>
    <w:p>
      <w:pPr>
        <w:pStyle w:val="3"/>
        <w:spacing w:before="6"/>
        <w:rPr>
          <w:rFonts w:ascii="Microsoft JhengHei"/>
          <w:b/>
          <w:sz w:val="13"/>
        </w:rPr>
      </w:pPr>
    </w:p>
    <w:p>
      <w:pPr>
        <w:pStyle w:val="7"/>
        <w:numPr>
          <w:ilvl w:val="0"/>
          <w:numId w:val="3"/>
        </w:numPr>
        <w:tabs>
          <w:tab w:val="left" w:pos="522"/>
        </w:tabs>
        <w:spacing w:before="0" w:after="0" w:line="240" w:lineRule="auto"/>
        <w:ind w:left="522" w:right="0" w:hanging="360"/>
        <w:jc w:val="both"/>
        <w:rPr>
          <w:sz w:val="24"/>
        </w:rPr>
      </w:pPr>
      <w:r>
        <w:rPr>
          <w:sz w:val="24"/>
        </w:rPr>
        <w:t>僅房地產中介人及房地產經紀可從事房地產中介業務。</w:t>
      </w:r>
    </w:p>
    <w:p>
      <w:pPr>
        <w:pStyle w:val="3"/>
        <w:spacing w:before="63" w:line="285" w:lineRule="auto"/>
        <w:ind w:left="519" w:right="1255"/>
        <w:jc w:val="both"/>
      </w:pPr>
      <w:r>
        <w:t>例如大廈管理員</w:t>
      </w:r>
      <w:r>
        <w:rPr>
          <w:rFonts w:ascii="Times New Roman" w:eastAsia="Times New Roman"/>
        </w:rPr>
        <w:t>(</w:t>
      </w:r>
      <w:r>
        <w:t>未持有有效房地產中介人及經紀准照</w:t>
      </w:r>
      <w:r>
        <w:rPr>
          <w:rFonts w:ascii="Times New Roman" w:eastAsia="Times New Roman"/>
        </w:rPr>
        <w:t>)</w:t>
      </w:r>
      <w:r>
        <w:t>，不能從事房地產中介業務（包括為業主推銷及帶領客人參觀不動產等</w:t>
      </w:r>
      <w:r>
        <w:rPr>
          <w:spacing w:val="-118"/>
        </w:rPr>
        <w:t>）</w:t>
      </w:r>
      <w:r>
        <w:t>。房地產中介人轄下的文職人員</w:t>
      </w:r>
      <w:r>
        <w:rPr>
          <w:rFonts w:ascii="Times New Roman" w:eastAsia="Times New Roman"/>
        </w:rPr>
        <w:t>(</w:t>
      </w:r>
      <w:r>
        <w:t>未持有經紀准照</w:t>
      </w:r>
      <w:r>
        <w:rPr>
          <w:rFonts w:ascii="Times New Roman" w:eastAsia="Times New Roman"/>
        </w:rPr>
        <w:t>)</w:t>
      </w:r>
      <w:r>
        <w:t>也不能從事房地產中介業務等。</w:t>
      </w:r>
    </w:p>
    <w:p>
      <w:pPr>
        <w:pStyle w:val="7"/>
        <w:numPr>
          <w:ilvl w:val="0"/>
          <w:numId w:val="3"/>
        </w:numPr>
        <w:tabs>
          <w:tab w:val="left" w:pos="522"/>
        </w:tabs>
        <w:spacing w:before="181" w:after="0" w:line="285" w:lineRule="auto"/>
        <w:ind w:left="521" w:right="1259" w:hanging="360"/>
        <w:jc w:val="both"/>
        <w:rPr>
          <w:sz w:val="24"/>
        </w:rPr>
      </w:pPr>
      <w:r>
        <w:rPr>
          <w:spacing w:val="-4"/>
          <w:sz w:val="24"/>
        </w:rPr>
        <w:t>房地產經紀僅可為唯一一名房地產中介人提供服務，但獲該中介人明示許可的</w:t>
      </w:r>
      <w:r>
        <w:rPr>
          <w:sz w:val="24"/>
        </w:rPr>
        <w:t>情況除外。</w:t>
      </w:r>
    </w:p>
    <w:p>
      <w:pPr>
        <w:pStyle w:val="3"/>
        <w:spacing w:before="7"/>
        <w:rPr>
          <w:sz w:val="15"/>
        </w:rPr>
      </w:pPr>
    </w:p>
    <w:p>
      <w:pPr>
        <w:pStyle w:val="2"/>
      </w:pPr>
      <w:r>
        <w:t>適當資格</w:t>
      </w:r>
    </w:p>
    <w:p>
      <w:pPr>
        <w:pStyle w:val="3"/>
        <w:spacing w:before="6"/>
        <w:rPr>
          <w:rFonts w:ascii="Microsoft JhengHei"/>
          <w:b/>
          <w:sz w:val="13"/>
        </w:rPr>
      </w:pPr>
    </w:p>
    <w:p>
      <w:pPr>
        <w:pStyle w:val="7"/>
        <w:numPr>
          <w:ilvl w:val="0"/>
          <w:numId w:val="4"/>
        </w:numPr>
        <w:tabs>
          <w:tab w:val="left" w:pos="522"/>
        </w:tabs>
        <w:spacing w:before="0" w:after="0" w:line="240" w:lineRule="auto"/>
        <w:ind w:left="522" w:right="0" w:hanging="360"/>
        <w:jc w:val="both"/>
        <w:rPr>
          <w:sz w:val="24"/>
        </w:rPr>
        <w:sectPr>
          <w:type w:val="continuous"/>
          <w:pgSz w:w="11910" w:h="16840"/>
          <w:pgMar w:top="1260" w:right="440" w:bottom="280" w:left="1540" w:header="720" w:footer="720" w:gutter="0"/>
        </w:sectPr>
      </w:pPr>
      <w:r>
        <w:rPr>
          <w:spacing w:val="-4"/>
          <w:sz w:val="24"/>
        </w:rPr>
        <w:t>一般情況下，房地產中介人或房地產經紀的適當資格作為其從業要件之一；房</w:t>
      </w:r>
    </w:p>
    <w:p>
      <w:pPr>
        <w:pStyle w:val="3"/>
        <w:spacing w:before="33"/>
      </w:pPr>
      <w:r>
        <w:t>地產中介人或經紀須具備有關的適當資格，才會獲發給及續發相關准照。</w:t>
      </w:r>
    </w:p>
    <w:p>
      <w:pPr>
        <w:pStyle w:val="3"/>
        <w:spacing w:before="8"/>
        <w:rPr>
          <w:sz w:val="17"/>
        </w:rPr>
      </w:pPr>
    </w:p>
    <w:p>
      <w:pPr>
        <w:pStyle w:val="7"/>
        <w:numPr>
          <w:ilvl w:val="0"/>
          <w:numId w:val="4"/>
        </w:numPr>
        <w:tabs>
          <w:tab w:val="left" w:pos="522"/>
        </w:tabs>
        <w:spacing w:before="0" w:after="0" w:line="285" w:lineRule="auto"/>
        <w:ind w:left="521" w:right="1195" w:hanging="360"/>
        <w:jc w:val="both"/>
        <w:rPr>
          <w:sz w:val="24"/>
        </w:rPr>
      </w:pPr>
      <w:r>
        <w:rPr>
          <w:spacing w:val="4"/>
          <w:sz w:val="24"/>
        </w:rPr>
        <w:t>倘房地產中介人或房地產經紀曾三次或以上違反本法律規定的行政違法行為</w:t>
      </w:r>
      <w:r>
        <w:rPr>
          <w:spacing w:val="-17"/>
          <w:sz w:val="24"/>
        </w:rPr>
        <w:t xml:space="preserve">而被科罰款，則不視為具備適當資格。根據經第 </w:t>
      </w:r>
      <w:r>
        <w:rPr>
          <w:rFonts w:ascii="Times New Roman" w:eastAsia="Times New Roman"/>
          <w:sz w:val="24"/>
        </w:rPr>
        <w:t xml:space="preserve">7/2014 </w:t>
      </w:r>
      <w:r>
        <w:rPr>
          <w:spacing w:val="-1"/>
          <w:sz w:val="24"/>
        </w:rPr>
        <w:t xml:space="preserve">號法律修改的第 </w:t>
      </w:r>
      <w:r>
        <w:rPr>
          <w:rFonts w:ascii="Times New Roman" w:eastAsia="Times New Roman"/>
          <w:sz w:val="24"/>
        </w:rPr>
        <w:t xml:space="preserve">16/2012 </w:t>
      </w:r>
      <w:r>
        <w:rPr>
          <w:spacing w:val="-13"/>
          <w:sz w:val="24"/>
        </w:rPr>
        <w:t xml:space="preserve">號法律《房地產中介業務法》第 </w:t>
      </w:r>
      <w:r>
        <w:rPr>
          <w:rFonts w:ascii="Times New Roman" w:eastAsia="Times New Roman"/>
          <w:sz w:val="24"/>
        </w:rPr>
        <w:t xml:space="preserve">9 </w:t>
      </w:r>
      <w:r>
        <w:rPr>
          <w:spacing w:val="-1"/>
          <w:sz w:val="24"/>
        </w:rPr>
        <w:t xml:space="preserve">條第 </w:t>
      </w:r>
      <w:r>
        <w:rPr>
          <w:rFonts w:ascii="Times New Roman" w:eastAsia="Times New Roman"/>
          <w:sz w:val="24"/>
        </w:rPr>
        <w:t xml:space="preserve">1 </w:t>
      </w:r>
      <w:r>
        <w:rPr>
          <w:sz w:val="24"/>
        </w:rPr>
        <w:t>款</w:t>
      </w:r>
      <w:r>
        <w:rPr>
          <w:rFonts w:ascii="Times New Roman" w:eastAsia="Times New Roman"/>
          <w:sz w:val="24"/>
        </w:rPr>
        <w:t>(2)</w:t>
      </w:r>
      <w:r>
        <w:rPr>
          <w:spacing w:val="-1"/>
          <w:sz w:val="24"/>
        </w:rPr>
        <w:t xml:space="preserve">項或第 </w:t>
      </w:r>
      <w:r>
        <w:rPr>
          <w:rFonts w:ascii="Times New Roman" w:eastAsia="Times New Roman"/>
          <w:sz w:val="24"/>
        </w:rPr>
        <w:t xml:space="preserve">15 </w:t>
      </w:r>
      <w:r>
        <w:rPr>
          <w:spacing w:val="-1"/>
          <w:sz w:val="24"/>
        </w:rPr>
        <w:t xml:space="preserve">條第 </w:t>
      </w:r>
      <w:r>
        <w:rPr>
          <w:rFonts w:ascii="Times New Roman" w:eastAsia="Times New Roman"/>
          <w:sz w:val="24"/>
        </w:rPr>
        <w:t xml:space="preserve">1 </w:t>
      </w:r>
      <w:r>
        <w:rPr>
          <w:sz w:val="24"/>
        </w:rPr>
        <w:t>款</w:t>
      </w:r>
      <w:r>
        <w:rPr>
          <w:rFonts w:ascii="Times New Roman" w:eastAsia="Times New Roman"/>
          <w:sz w:val="24"/>
        </w:rPr>
        <w:t>(2)</w:t>
      </w:r>
      <w:r>
        <w:rPr>
          <w:spacing w:val="-5"/>
          <w:sz w:val="24"/>
        </w:rPr>
        <w:t xml:space="preserve">項之規定， </w:t>
      </w:r>
      <w:r>
        <w:rPr>
          <w:sz w:val="24"/>
        </w:rPr>
        <w:t>房地產中介人或房地產經紀不再具備適當資格，則會被註銷相關准照。</w:t>
      </w:r>
    </w:p>
    <w:p>
      <w:pPr>
        <w:pStyle w:val="7"/>
        <w:numPr>
          <w:ilvl w:val="0"/>
          <w:numId w:val="4"/>
        </w:numPr>
        <w:tabs>
          <w:tab w:val="left" w:pos="522"/>
        </w:tabs>
        <w:spacing w:before="183" w:after="0" w:line="285" w:lineRule="auto"/>
        <w:ind w:left="521" w:right="1253" w:hanging="360"/>
        <w:jc w:val="both"/>
        <w:rPr>
          <w:sz w:val="24"/>
        </w:rPr>
      </w:pPr>
      <w:r>
        <w:rPr>
          <w:spacing w:val="4"/>
          <w:sz w:val="24"/>
        </w:rPr>
        <w:t>倘房地產中介人或房地產經紀曾三次或以上違反本法律規定的行政違法行為</w:t>
      </w:r>
      <w:r>
        <w:rPr>
          <w:spacing w:val="-5"/>
          <w:sz w:val="24"/>
        </w:rPr>
        <w:t>而被科罰款，並已完全履行因最後一次處罰而產生的義務，且履行義務與提出</w:t>
      </w:r>
      <w:r>
        <w:rPr>
          <w:sz w:val="24"/>
        </w:rPr>
        <w:t>申請之間的期間超過五年，則不予考慮有關行政違法行為。</w:t>
      </w:r>
    </w:p>
    <w:p>
      <w:pPr>
        <w:pStyle w:val="3"/>
        <w:spacing w:before="12"/>
        <w:rPr>
          <w:sz w:val="35"/>
        </w:rPr>
      </w:pPr>
    </w:p>
    <w:p>
      <w:pPr>
        <w:pStyle w:val="2"/>
        <w:spacing w:before="1"/>
      </w:pPr>
      <w:r>
        <w:t>從事房地產中介業務的注意事項</w:t>
      </w:r>
    </w:p>
    <w:p>
      <w:pPr>
        <w:pStyle w:val="3"/>
        <w:spacing w:before="16"/>
        <w:rPr>
          <w:rFonts w:ascii="Microsoft JhengHei"/>
          <w:b/>
          <w:sz w:val="11"/>
        </w:rPr>
      </w:pPr>
    </w:p>
    <w:p>
      <w:pPr>
        <w:pStyle w:val="7"/>
        <w:numPr>
          <w:ilvl w:val="0"/>
          <w:numId w:val="5"/>
        </w:numPr>
        <w:tabs>
          <w:tab w:val="left" w:pos="522"/>
        </w:tabs>
        <w:spacing w:before="0" w:after="0" w:line="285" w:lineRule="auto"/>
        <w:ind w:left="521" w:right="1255" w:hanging="360"/>
        <w:jc w:val="both"/>
        <w:rPr>
          <w:sz w:val="24"/>
        </w:rPr>
      </w:pPr>
      <w:r>
        <w:rPr>
          <w:spacing w:val="-17"/>
          <w:sz w:val="24"/>
        </w:rPr>
        <w:t>履行《房地產中介業務法》、《房地產中介業務法施行細則》及公佈於《澳門特</w:t>
      </w:r>
      <w:r>
        <w:rPr>
          <w:spacing w:val="-12"/>
          <w:sz w:val="24"/>
        </w:rPr>
        <w:t>別行政區公報》的行政長官批示，就涉及本法律所訂定的具約束力及強制性的</w:t>
      </w:r>
      <w:r>
        <w:rPr>
          <w:sz w:val="24"/>
        </w:rPr>
        <w:t>指引。</w:t>
      </w:r>
    </w:p>
    <w:p>
      <w:pPr>
        <w:pStyle w:val="7"/>
        <w:numPr>
          <w:ilvl w:val="0"/>
          <w:numId w:val="5"/>
        </w:numPr>
        <w:tabs>
          <w:tab w:val="left" w:pos="522"/>
        </w:tabs>
        <w:spacing w:before="182" w:after="0" w:line="295" w:lineRule="exact"/>
        <w:ind w:left="522" w:right="0" w:hanging="360"/>
        <w:jc w:val="both"/>
        <w:rPr>
          <w:sz w:val="24"/>
        </w:rPr>
      </w:pPr>
      <w:r>
        <w:rPr>
          <w:sz w:val="24"/>
        </w:rPr>
        <w:t>房地產中介人僅僱用持有有效房地產經紀准照的人員從事房地產中介業務。</w:t>
      </w:r>
    </w:p>
    <w:p>
      <w:pPr>
        <w:pStyle w:val="2"/>
        <w:spacing w:before="17" w:line="196" w:lineRule="auto"/>
        <w:ind w:left="3213" w:right="4309"/>
        <w:jc w:val="center"/>
      </w:pPr>
      <w:r>
        <w:rPr>
          <w:spacing w:val="-2"/>
        </w:rPr>
        <w:t xml:space="preserve">房地產經紀准照式樣： </w:t>
      </w:r>
      <w:r>
        <w:t>正面：</w:t>
      </w:r>
    </w:p>
    <w:p>
      <w:pPr>
        <w:pStyle w:val="3"/>
        <w:spacing w:before="3"/>
        <w:rPr>
          <w:rFonts w:ascii="Microsoft JhengHei"/>
          <w:b/>
          <w:sz w:val="7"/>
        </w:rPr>
      </w:pPr>
      <w:r>
        <w:drawing>
          <wp:anchor distT="0" distB="0" distL="0" distR="0" simplePos="0" relativeHeight="0" behindDoc="0" locked="0" layoutInCell="1" allowOverlap="1">
            <wp:simplePos x="0" y="0"/>
            <wp:positionH relativeFrom="page">
              <wp:posOffset>2072640</wp:posOffset>
            </wp:positionH>
            <wp:positionV relativeFrom="paragraph">
              <wp:posOffset>107950</wp:posOffset>
            </wp:positionV>
            <wp:extent cx="3406775" cy="207454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3406897" cy="2074545"/>
                    </a:xfrm>
                    <a:prstGeom prst="rect">
                      <a:avLst/>
                    </a:prstGeom>
                  </pic:spPr>
                </pic:pic>
              </a:graphicData>
            </a:graphic>
          </wp:anchor>
        </w:drawing>
      </w:r>
    </w:p>
    <w:p>
      <w:pPr>
        <w:spacing w:before="72" w:after="83"/>
        <w:ind w:left="1067" w:right="2165" w:firstLine="0"/>
        <w:jc w:val="center"/>
        <w:rPr>
          <w:rFonts w:hint="eastAsia" w:ascii="Microsoft JhengHei" w:eastAsia="Microsoft JhengHei"/>
          <w:b/>
          <w:sz w:val="24"/>
        </w:rPr>
      </w:pPr>
      <w:r>
        <w:rPr>
          <w:rFonts w:hint="eastAsia" w:ascii="Microsoft JhengHei" w:eastAsia="Microsoft JhengHei"/>
          <w:b/>
          <w:sz w:val="24"/>
        </w:rPr>
        <w:t>背面：</w:t>
      </w:r>
    </w:p>
    <w:p>
      <w:pPr>
        <w:pStyle w:val="3"/>
        <w:ind w:left="1616"/>
        <w:rPr>
          <w:rFonts w:ascii="Microsoft JhengHei"/>
          <w:sz w:val="20"/>
        </w:rPr>
      </w:pPr>
      <w:r>
        <w:rPr>
          <w:rFonts w:ascii="Microsoft JhengHei"/>
          <w:sz w:val="20"/>
        </w:rPr>
        <w:drawing>
          <wp:inline distT="0" distB="0" distL="0" distR="0">
            <wp:extent cx="3552190" cy="2162175"/>
            <wp:effectExtent l="0" t="0" r="10160" b="952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3552190" cy="2162175"/>
                    </a:xfrm>
                    <a:prstGeom prst="rect">
                      <a:avLst/>
                    </a:prstGeom>
                  </pic:spPr>
                </pic:pic>
              </a:graphicData>
            </a:graphic>
          </wp:inline>
        </w:drawing>
      </w:r>
    </w:p>
    <w:p>
      <w:pPr>
        <w:spacing w:after="0"/>
        <w:rPr>
          <w:rFonts w:ascii="Microsoft JhengHei"/>
          <w:sz w:val="20"/>
        </w:rPr>
        <w:sectPr>
          <w:pgSz w:w="11910" w:h="16840"/>
          <w:pgMar w:top="1160" w:right="440" w:bottom="280" w:left="1540" w:header="720" w:footer="720" w:gutter="0"/>
        </w:sectPr>
      </w:pPr>
    </w:p>
    <w:p>
      <w:pPr>
        <w:pStyle w:val="7"/>
        <w:numPr>
          <w:ilvl w:val="0"/>
          <w:numId w:val="5"/>
        </w:numPr>
        <w:tabs>
          <w:tab w:val="left" w:pos="522"/>
        </w:tabs>
        <w:spacing w:before="53" w:after="0" w:line="288" w:lineRule="auto"/>
        <w:ind w:left="521" w:right="1253" w:hanging="360"/>
        <w:jc w:val="left"/>
        <w:rPr>
          <w:sz w:val="24"/>
        </w:rPr>
      </w:pPr>
      <w:r>
        <w:rPr>
          <w:spacing w:val="4"/>
          <w:sz w:val="24"/>
        </w:rPr>
        <w:t>房地產中介人須在其商業營業場所顯眼處張貼其房地產中介人准照或認證繕</w:t>
      </w:r>
      <w:r>
        <w:rPr>
          <w:sz w:val="24"/>
        </w:rPr>
        <w:t>本及商業營業場所說明書。</w:t>
      </w:r>
    </w:p>
    <w:p>
      <w:pPr>
        <w:pStyle w:val="2"/>
        <w:spacing w:before="210"/>
        <w:ind w:left="3090"/>
      </w:pPr>
      <w:r>
        <w:drawing>
          <wp:anchor distT="0" distB="0" distL="0" distR="0" simplePos="0" relativeHeight="1024" behindDoc="0" locked="0" layoutInCell="1" allowOverlap="1">
            <wp:simplePos x="0" y="0"/>
            <wp:positionH relativeFrom="page">
              <wp:posOffset>1146175</wp:posOffset>
            </wp:positionH>
            <wp:positionV relativeFrom="paragraph">
              <wp:posOffset>440690</wp:posOffset>
            </wp:positionV>
            <wp:extent cx="5235575" cy="747014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5235512" cy="7470457"/>
                    </a:xfrm>
                    <a:prstGeom prst="rect">
                      <a:avLst/>
                    </a:prstGeom>
                  </pic:spPr>
                </pic:pic>
              </a:graphicData>
            </a:graphic>
          </wp:anchor>
        </w:drawing>
      </w:r>
      <w:r>
        <w:t>房地產中介人准照式樣：</w:t>
      </w:r>
    </w:p>
    <w:p>
      <w:pPr>
        <w:spacing w:after="0"/>
        <w:sectPr>
          <w:pgSz w:w="11910" w:h="16840"/>
          <w:pgMar w:top="1140" w:right="440" w:bottom="280" w:left="1540" w:header="720" w:footer="720" w:gutter="0"/>
        </w:sectPr>
      </w:pPr>
    </w:p>
    <w:p>
      <w:pPr>
        <w:spacing w:before="0" w:line="389" w:lineRule="exact"/>
        <w:ind w:left="2973" w:right="0" w:firstLine="0"/>
        <w:jc w:val="left"/>
        <w:rPr>
          <w:rFonts w:hint="eastAsia" w:ascii="Microsoft JhengHei" w:eastAsia="Microsoft JhengHei"/>
          <w:b/>
          <w:sz w:val="24"/>
        </w:rPr>
      </w:pPr>
      <w:r>
        <w:rPr>
          <w:rFonts w:hint="eastAsia" w:ascii="Microsoft JhengHei" w:eastAsia="Microsoft JhengHei"/>
          <w:b/>
          <w:sz w:val="24"/>
        </w:rPr>
        <w:t>商業營業場所說明書式樣：</w:t>
      </w:r>
    </w:p>
    <w:p>
      <w:pPr>
        <w:pStyle w:val="3"/>
        <w:spacing w:before="6"/>
        <w:rPr>
          <w:rFonts w:ascii="Microsoft JhengHei"/>
          <w:b/>
          <w:sz w:val="20"/>
        </w:rPr>
      </w:pPr>
      <w:r>
        <w:drawing>
          <wp:anchor distT="0" distB="0" distL="0" distR="0" simplePos="0" relativeHeight="1024" behindDoc="0" locked="0" layoutInCell="1" allowOverlap="1">
            <wp:simplePos x="0" y="0"/>
            <wp:positionH relativeFrom="page">
              <wp:posOffset>1159510</wp:posOffset>
            </wp:positionH>
            <wp:positionV relativeFrom="paragraph">
              <wp:posOffset>81915</wp:posOffset>
            </wp:positionV>
            <wp:extent cx="5212080" cy="736219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7" cstate="print"/>
                    <a:stretch>
                      <a:fillRect/>
                    </a:stretch>
                  </pic:blipFill>
                  <pic:spPr>
                    <a:xfrm>
                      <a:off x="0" y="0"/>
                      <a:ext cx="5211926" cy="7362063"/>
                    </a:xfrm>
                    <a:prstGeom prst="rect">
                      <a:avLst/>
                    </a:prstGeom>
                  </pic:spPr>
                </pic:pic>
              </a:graphicData>
            </a:graphic>
          </wp:anchor>
        </w:drawing>
      </w:r>
    </w:p>
    <w:p>
      <w:pPr>
        <w:pStyle w:val="7"/>
        <w:numPr>
          <w:ilvl w:val="0"/>
          <w:numId w:val="5"/>
        </w:numPr>
        <w:tabs>
          <w:tab w:val="left" w:pos="522"/>
        </w:tabs>
        <w:spacing w:before="0" w:after="0" w:line="285" w:lineRule="auto"/>
        <w:ind w:left="521" w:right="1221" w:hanging="360"/>
        <w:jc w:val="both"/>
        <w:rPr>
          <w:sz w:val="24"/>
        </w:rPr>
      </w:pPr>
      <w:r>
        <w:rPr>
          <w:sz w:val="24"/>
        </w:rPr>
        <w:t>商業營業場所須設於作商業、服務、寫字樓或從事自由職業用途的不動產內。</w:t>
      </w:r>
      <w:r>
        <w:rPr>
          <w:spacing w:val="1"/>
          <w:sz w:val="24"/>
        </w:rPr>
        <w:t xml:space="preserve">但屬經第 </w:t>
      </w:r>
      <w:r>
        <w:rPr>
          <w:rFonts w:ascii="Times New Roman" w:eastAsia="Times New Roman"/>
          <w:sz w:val="24"/>
        </w:rPr>
        <w:t>7/2014</w:t>
      </w:r>
      <w:r>
        <w:rPr>
          <w:rFonts w:ascii="Times New Roman" w:eastAsia="Times New Roman"/>
          <w:spacing w:val="10"/>
          <w:sz w:val="24"/>
        </w:rPr>
        <w:t xml:space="preserve"> </w:t>
      </w:r>
      <w:r>
        <w:rPr>
          <w:spacing w:val="7"/>
          <w:sz w:val="24"/>
        </w:rPr>
        <w:t xml:space="preserve">號法律修改的第 </w:t>
      </w:r>
      <w:r>
        <w:rPr>
          <w:rFonts w:ascii="Times New Roman" w:eastAsia="Times New Roman"/>
          <w:sz w:val="24"/>
        </w:rPr>
        <w:t xml:space="preserve">16/2012 </w:t>
      </w:r>
      <w:r>
        <w:rPr>
          <w:sz w:val="24"/>
        </w:rPr>
        <w:t xml:space="preserve">號法律《房地產中介業務法》第 </w:t>
      </w:r>
      <w:r>
        <w:rPr>
          <w:rFonts w:ascii="Times New Roman" w:eastAsia="Times New Roman"/>
          <w:sz w:val="24"/>
        </w:rPr>
        <w:t xml:space="preserve">41 </w:t>
      </w:r>
      <w:r>
        <w:rPr>
          <w:sz w:val="24"/>
        </w:rPr>
        <w:t>條</w:t>
      </w:r>
      <w:r>
        <w:rPr>
          <w:rFonts w:ascii="Times New Roman" w:eastAsia="Times New Roman"/>
          <w:sz w:val="24"/>
        </w:rPr>
        <w:t>(</w:t>
      </w:r>
      <w:r>
        <w:rPr>
          <w:sz w:val="24"/>
        </w:rPr>
        <w:t>過渡性規定</w:t>
      </w:r>
      <w:r>
        <w:rPr>
          <w:rFonts w:ascii="Times New Roman" w:eastAsia="Times New Roman"/>
          <w:sz w:val="24"/>
        </w:rPr>
        <w:t>)</w:t>
      </w:r>
      <w:r>
        <w:rPr>
          <w:spacing w:val="5"/>
          <w:sz w:val="24"/>
        </w:rPr>
        <w:t xml:space="preserve">第 </w:t>
      </w:r>
      <w:r>
        <w:rPr>
          <w:rFonts w:ascii="Times New Roman" w:eastAsia="Times New Roman"/>
          <w:sz w:val="24"/>
        </w:rPr>
        <w:t>9</w:t>
      </w:r>
      <w:r>
        <w:rPr>
          <w:rFonts w:ascii="Times New Roman" w:eastAsia="Times New Roman"/>
          <w:spacing w:val="13"/>
          <w:sz w:val="24"/>
        </w:rPr>
        <w:t xml:space="preserve"> </w:t>
      </w:r>
      <w:r>
        <w:rPr>
          <w:sz w:val="24"/>
        </w:rPr>
        <w:t>款規定，如在本法律公佈之日</w:t>
      </w:r>
      <w:r>
        <w:rPr>
          <w:rFonts w:ascii="Times New Roman" w:eastAsia="Times New Roman"/>
          <w:sz w:val="24"/>
        </w:rPr>
        <w:t>(2012</w:t>
      </w:r>
      <w:r>
        <w:rPr>
          <w:rFonts w:ascii="Times New Roman" w:eastAsia="Times New Roman"/>
          <w:spacing w:val="12"/>
          <w:sz w:val="24"/>
        </w:rPr>
        <w:t xml:space="preserve"> </w:t>
      </w:r>
      <w:r>
        <w:rPr>
          <w:spacing w:val="5"/>
          <w:sz w:val="24"/>
        </w:rPr>
        <w:t xml:space="preserve">年 </w:t>
      </w:r>
      <w:r>
        <w:rPr>
          <w:rFonts w:ascii="Times New Roman" w:eastAsia="Times New Roman"/>
          <w:spacing w:val="-5"/>
          <w:sz w:val="24"/>
        </w:rPr>
        <w:t>11</w:t>
      </w:r>
      <w:r>
        <w:rPr>
          <w:rFonts w:ascii="Times New Roman" w:eastAsia="Times New Roman"/>
          <w:spacing w:val="14"/>
          <w:sz w:val="24"/>
        </w:rPr>
        <w:t xml:space="preserve"> </w:t>
      </w:r>
      <w:r>
        <w:rPr>
          <w:spacing w:val="5"/>
          <w:sz w:val="24"/>
        </w:rPr>
        <w:t xml:space="preserve">月 </w:t>
      </w:r>
      <w:r>
        <w:rPr>
          <w:rFonts w:ascii="Times New Roman" w:eastAsia="Times New Roman"/>
          <w:sz w:val="24"/>
        </w:rPr>
        <w:t>12</w:t>
      </w:r>
      <w:r>
        <w:rPr>
          <w:rFonts w:ascii="Times New Roman" w:eastAsia="Times New Roman"/>
          <w:spacing w:val="11"/>
          <w:sz w:val="24"/>
        </w:rPr>
        <w:t xml:space="preserve"> </w:t>
      </w:r>
      <w:r>
        <w:rPr>
          <w:sz w:val="24"/>
        </w:rPr>
        <w:t>日</w:t>
      </w:r>
      <w:r>
        <w:rPr>
          <w:rFonts w:ascii="Times New Roman" w:eastAsia="Times New Roman"/>
          <w:sz w:val="24"/>
        </w:rPr>
        <w:t>)</w:t>
      </w:r>
      <w:r>
        <w:rPr>
          <w:sz w:val="24"/>
        </w:rPr>
        <w:t>已設於</w:t>
      </w:r>
      <w:r>
        <w:rPr>
          <w:spacing w:val="-5"/>
          <w:sz w:val="24"/>
        </w:rPr>
        <w:t>作住宅、居住或工業用途的不動產的地面層內，且擬在該處從事房地產中介業</w:t>
      </w:r>
      <w:r>
        <w:rPr>
          <w:spacing w:val="-15"/>
          <w:sz w:val="24"/>
        </w:rPr>
        <w:t xml:space="preserve">務者，亦可獲發相應的臨時准照，有關臨時准照的有效期至 </w:t>
      </w:r>
      <w:r>
        <w:rPr>
          <w:rFonts w:ascii="Times New Roman" w:eastAsia="Times New Roman"/>
          <w:sz w:val="24"/>
        </w:rPr>
        <w:t>2019</w:t>
      </w:r>
      <w:r>
        <w:rPr>
          <w:rFonts w:ascii="Times New Roman" w:eastAsia="Times New Roman"/>
          <w:spacing w:val="1"/>
          <w:sz w:val="24"/>
        </w:rPr>
        <w:t xml:space="preserve"> </w:t>
      </w:r>
      <w:r>
        <w:rPr>
          <w:spacing w:val="-1"/>
          <w:sz w:val="24"/>
        </w:rPr>
        <w:t xml:space="preserve">年 </w:t>
      </w:r>
      <w:r>
        <w:rPr>
          <w:rFonts w:ascii="Times New Roman" w:eastAsia="Times New Roman"/>
          <w:sz w:val="24"/>
        </w:rPr>
        <w:t xml:space="preserve">8 </w:t>
      </w:r>
      <w:r>
        <w:rPr>
          <w:spacing w:val="-1"/>
          <w:sz w:val="24"/>
        </w:rPr>
        <w:t xml:space="preserve">月 </w:t>
      </w:r>
      <w:r>
        <w:rPr>
          <w:rFonts w:ascii="Times New Roman" w:eastAsia="Times New Roman"/>
          <w:sz w:val="24"/>
        </w:rPr>
        <w:t>31</w:t>
      </w:r>
      <w:r>
        <w:rPr>
          <w:rFonts w:ascii="Times New Roman" w:eastAsia="Times New Roman"/>
          <w:spacing w:val="1"/>
          <w:sz w:val="24"/>
        </w:rPr>
        <w:t xml:space="preserve"> </w:t>
      </w:r>
      <w:r>
        <w:rPr>
          <w:spacing w:val="-33"/>
          <w:sz w:val="24"/>
        </w:rPr>
        <w:t>日。</w:t>
      </w:r>
    </w:p>
    <w:p>
      <w:pPr>
        <w:spacing w:after="0" w:line="285" w:lineRule="auto"/>
        <w:jc w:val="both"/>
        <w:rPr>
          <w:sz w:val="24"/>
        </w:rPr>
        <w:sectPr>
          <w:pgSz w:w="11910" w:h="16840"/>
          <w:pgMar w:top="1100" w:right="440" w:bottom="280" w:left="1540" w:header="720" w:footer="720" w:gutter="0"/>
        </w:sectPr>
      </w:pPr>
    </w:p>
    <w:p>
      <w:pPr>
        <w:pStyle w:val="7"/>
        <w:numPr>
          <w:ilvl w:val="0"/>
          <w:numId w:val="5"/>
        </w:numPr>
        <w:tabs>
          <w:tab w:val="left" w:pos="522"/>
        </w:tabs>
        <w:spacing w:before="53" w:after="0" w:line="285" w:lineRule="auto"/>
        <w:ind w:left="521" w:right="1242" w:hanging="360"/>
        <w:jc w:val="both"/>
        <w:rPr>
          <w:sz w:val="24"/>
        </w:rPr>
      </w:pPr>
      <w:r>
        <w:rPr>
          <w:spacing w:val="-1"/>
          <w:sz w:val="24"/>
        </w:rPr>
        <w:t>房地產經紀在從事房地產中介業務時，須佩帶由房地產中介人發出的工作證。</w:t>
      </w:r>
      <w:r>
        <w:rPr>
          <w:spacing w:val="4"/>
          <w:sz w:val="24"/>
        </w:rPr>
        <w:t>工作證須載有房地產經紀的姓名、准照編號、所屬的中介人的名稱及准照編</w:t>
      </w:r>
      <w:r>
        <w:rPr>
          <w:sz w:val="24"/>
        </w:rPr>
        <w:t>號，以及附有持證人的照片。</w:t>
      </w:r>
    </w:p>
    <w:p>
      <w:pPr>
        <w:pStyle w:val="7"/>
        <w:numPr>
          <w:ilvl w:val="0"/>
          <w:numId w:val="5"/>
        </w:numPr>
        <w:tabs>
          <w:tab w:val="left" w:pos="522"/>
        </w:tabs>
        <w:spacing w:before="183" w:after="0" w:line="285" w:lineRule="auto"/>
        <w:ind w:left="521" w:right="1257" w:hanging="360"/>
        <w:jc w:val="both"/>
        <w:rPr>
          <w:sz w:val="24"/>
        </w:rPr>
      </w:pPr>
      <w:r>
        <w:rPr>
          <w:spacing w:val="-5"/>
          <w:sz w:val="24"/>
        </w:rPr>
        <w:t>提供房地產中介服務前，必須與客戶簽署房地產中介合同，房地產中介合同須</w:t>
      </w:r>
      <w:r>
        <w:rPr>
          <w:spacing w:val="1"/>
          <w:sz w:val="24"/>
        </w:rPr>
        <w:t xml:space="preserve">以書面方式訂立。如未訂明房地產中介合同的有效期，則視之為 </w:t>
      </w:r>
      <w:r>
        <w:rPr>
          <w:rFonts w:ascii="Times New Roman" w:eastAsia="Times New Roman"/>
          <w:sz w:val="24"/>
        </w:rPr>
        <w:t xml:space="preserve">6 </w:t>
      </w:r>
      <w:r>
        <w:rPr>
          <w:sz w:val="24"/>
        </w:rPr>
        <w:t>個月。</w:t>
      </w:r>
    </w:p>
    <w:p>
      <w:pPr>
        <w:pStyle w:val="3"/>
        <w:spacing w:before="182" w:line="285" w:lineRule="auto"/>
        <w:ind w:left="521" w:right="1256"/>
        <w:jc w:val="both"/>
      </w:pPr>
      <w:r>
        <w:rPr>
          <w:spacing w:val="3"/>
        </w:rPr>
        <w:t>合同中須載明下列事項：房地產中介人的名稱、准照編號及商業營業場所地</w:t>
      </w:r>
      <w:r>
        <w:rPr>
          <w:spacing w:val="-3"/>
        </w:rPr>
        <w:t>址；客戶的名稱、聯絡方法及其他識別資料；擬促成的法律行為的標的物、佣</w:t>
      </w:r>
      <w:r>
        <w:rPr>
          <w:spacing w:val="-4"/>
        </w:rPr>
        <w:t>金及其他約定的費用，以及其支付方式和條件；不動產的識別資料、法律狀況</w:t>
      </w:r>
      <w:r>
        <w:rPr>
          <w:spacing w:val="-5"/>
        </w:rPr>
        <w:t>及其他特徵說明，如合同旨在推介客戶的不動產；倘有的由一個中介人代表雙</w:t>
      </w:r>
      <w:r>
        <w:t>方的情況。</w:t>
      </w:r>
    </w:p>
    <w:p>
      <w:pPr>
        <w:pStyle w:val="3"/>
        <w:spacing w:before="183" w:line="285" w:lineRule="auto"/>
        <w:ind w:left="586" w:right="1263"/>
      </w:pPr>
      <w:r>
        <w:t>合同中必要事項所指的</w:t>
      </w:r>
      <w:r>
        <w:rPr>
          <w:rFonts w:ascii="Times New Roman" w:hAnsi="Times New Roman" w:eastAsia="Times New Roman"/>
        </w:rPr>
        <w:t>“</w:t>
      </w:r>
      <w:r>
        <w:t>房地產中介人名稱</w:t>
      </w:r>
      <w:r>
        <w:rPr>
          <w:rFonts w:ascii="Times New Roman" w:hAnsi="Times New Roman" w:eastAsia="Times New Roman"/>
        </w:rPr>
        <w:t>”</w:t>
      </w:r>
      <w:r>
        <w:t>應填寫為房地產中介人准照上准照持有人之名稱，不應填寫為商業營業場所名稱。</w:t>
      </w:r>
    </w:p>
    <w:p>
      <w:pPr>
        <w:pStyle w:val="3"/>
        <w:spacing w:before="1" w:line="285" w:lineRule="auto"/>
        <w:ind w:left="1294" w:right="5818" w:hanging="708"/>
      </w:pPr>
      <w:r>
        <w:t xml:space="preserve">例如：房地產中介人 </w:t>
      </w:r>
      <w:r>
        <w:rPr>
          <w:rFonts w:ascii="Times New Roman" w:hAnsi="Times New Roman" w:eastAsia="Times New Roman"/>
        </w:rPr>
        <w:t xml:space="preserve">─  </w:t>
      </w:r>
      <w:r>
        <w:t xml:space="preserve">陳大文商業營業場所 </w:t>
      </w:r>
      <w:r>
        <w:rPr>
          <w:rFonts w:ascii="Times New Roman" w:hAnsi="Times New Roman" w:eastAsia="Times New Roman"/>
        </w:rPr>
        <w:t xml:space="preserve">─ </w:t>
      </w:r>
      <w:r>
        <w:t>大文地產</w:t>
      </w:r>
    </w:p>
    <w:p>
      <w:pPr>
        <w:pStyle w:val="3"/>
        <w:spacing w:before="2"/>
        <w:ind w:left="589"/>
      </w:pPr>
      <w:r>
        <w:t>此情況下，合同中的房地產中介人名稱應填寫為陳大文，不應填寫為大文地產。</w:t>
      </w:r>
    </w:p>
    <w:p>
      <w:pPr>
        <w:pStyle w:val="3"/>
        <w:spacing w:before="6"/>
        <w:rPr>
          <w:sz w:val="17"/>
        </w:rPr>
      </w:pPr>
    </w:p>
    <w:p>
      <w:pPr>
        <w:pStyle w:val="3"/>
        <w:spacing w:line="285" w:lineRule="auto"/>
        <w:ind w:left="586" w:right="1259"/>
        <w:jc w:val="both"/>
      </w:pPr>
      <w:r>
        <w:rPr>
          <w:spacing w:val="4"/>
        </w:rPr>
        <w:t>合同中必要事項所指的</w:t>
      </w:r>
      <w:r>
        <w:rPr>
          <w:rFonts w:ascii="Times New Roman" w:hAnsi="Times New Roman" w:eastAsia="Times New Roman"/>
          <w:spacing w:val="3"/>
        </w:rPr>
        <w:t>“</w:t>
      </w:r>
      <w:r>
        <w:rPr>
          <w:spacing w:val="4"/>
        </w:rPr>
        <w:t>商業營業場所地址</w:t>
      </w:r>
      <w:r>
        <w:rPr>
          <w:rFonts w:ascii="Times New Roman" w:hAnsi="Times New Roman" w:eastAsia="Times New Roman"/>
          <w:spacing w:val="6"/>
        </w:rPr>
        <w:t>”</w:t>
      </w:r>
      <w:r>
        <w:rPr>
          <w:spacing w:val="3"/>
        </w:rPr>
        <w:t>為房地產中介人商業營業場所說</w:t>
      </w:r>
      <w:r>
        <w:rPr>
          <w:spacing w:val="-7"/>
        </w:rPr>
        <w:t>明書中所載之場所地址。倘為有限公司的房地產中介人應注意商業營業場所地</w:t>
      </w:r>
      <w:r>
        <w:t>址與法人住所地址之區別。</w:t>
      </w:r>
    </w:p>
    <w:p>
      <w:pPr>
        <w:pStyle w:val="3"/>
        <w:spacing w:before="182" w:line="285" w:lineRule="auto"/>
        <w:ind w:left="586" w:right="1194"/>
      </w:pPr>
      <w:r>
        <w:t>合同中必要事項所指的</w:t>
      </w:r>
      <w:r>
        <w:rPr>
          <w:rFonts w:ascii="Times New Roman" w:hAnsi="Times New Roman" w:eastAsia="Times New Roman"/>
        </w:rPr>
        <w:t>“</w:t>
      </w:r>
      <w:r>
        <w:t>佣金</w:t>
      </w:r>
      <w:r>
        <w:rPr>
          <w:rFonts w:ascii="Times New Roman" w:hAnsi="Times New Roman" w:eastAsia="Times New Roman"/>
        </w:rPr>
        <w:t>”</w:t>
      </w:r>
      <w:r>
        <w:t>，建議即使有關中介人不向客戶收取任何佣金或費用的情況下，應於佣金一欄填寫金額為</w:t>
      </w:r>
      <w:r>
        <w:rPr>
          <w:rFonts w:ascii="Times New Roman" w:hAnsi="Times New Roman" w:eastAsia="Times New Roman"/>
        </w:rPr>
        <w:t>“0”</w:t>
      </w:r>
      <w:r>
        <w:t>。</w:t>
      </w:r>
    </w:p>
    <w:p>
      <w:pPr>
        <w:pStyle w:val="3"/>
        <w:spacing w:before="182"/>
        <w:ind w:left="641"/>
      </w:pPr>
      <w:r>
        <w:t>房地產中介合同式樣：可於本局網頁「房地產中介業務」之「下載區」下載。</w:t>
      </w:r>
    </w:p>
    <w:p>
      <w:pPr>
        <w:pStyle w:val="3"/>
        <w:spacing w:before="5"/>
        <w:rPr>
          <w:sz w:val="17"/>
        </w:rPr>
      </w:pPr>
    </w:p>
    <w:p>
      <w:pPr>
        <w:pStyle w:val="7"/>
        <w:numPr>
          <w:ilvl w:val="0"/>
          <w:numId w:val="5"/>
        </w:numPr>
        <w:tabs>
          <w:tab w:val="left" w:pos="522"/>
        </w:tabs>
        <w:spacing w:before="1" w:after="0" w:line="240" w:lineRule="auto"/>
        <w:ind w:left="522" w:right="0" w:hanging="360"/>
        <w:jc w:val="left"/>
        <w:rPr>
          <w:sz w:val="24"/>
        </w:rPr>
      </w:pPr>
      <w:r>
        <w:rPr>
          <w:sz w:val="24"/>
        </w:rPr>
        <w:t>房地產中介人對客戶的義務</w:t>
      </w:r>
    </w:p>
    <w:p>
      <w:pPr>
        <w:pStyle w:val="3"/>
        <w:spacing w:before="7"/>
        <w:rPr>
          <w:sz w:val="17"/>
        </w:rPr>
      </w:pPr>
    </w:p>
    <w:p>
      <w:pPr>
        <w:pStyle w:val="7"/>
        <w:numPr>
          <w:ilvl w:val="1"/>
          <w:numId w:val="5"/>
        </w:numPr>
        <w:tabs>
          <w:tab w:val="left" w:pos="1002"/>
        </w:tabs>
        <w:spacing w:before="1" w:after="0" w:line="285" w:lineRule="auto"/>
        <w:ind w:left="1001" w:right="1259" w:hanging="480"/>
        <w:jc w:val="both"/>
        <w:rPr>
          <w:sz w:val="24"/>
        </w:rPr>
      </w:pPr>
      <w:r>
        <w:rPr>
          <w:spacing w:val="-4"/>
          <w:sz w:val="24"/>
        </w:rPr>
        <w:t>在訂立房地產中介合同時，進行一切合理程序並採取一切應有的措施核實</w:t>
      </w:r>
      <w:r>
        <w:rPr>
          <w:sz w:val="24"/>
        </w:rPr>
        <w:t>客戶是否具備訂立擬促成的法律行為的能力及正當性。</w:t>
      </w:r>
    </w:p>
    <w:p>
      <w:pPr>
        <w:pStyle w:val="7"/>
        <w:numPr>
          <w:ilvl w:val="1"/>
          <w:numId w:val="5"/>
        </w:numPr>
        <w:tabs>
          <w:tab w:val="left" w:pos="1002"/>
        </w:tabs>
        <w:spacing w:before="180" w:after="0" w:line="285" w:lineRule="auto"/>
        <w:ind w:left="1001" w:right="1241" w:hanging="480"/>
        <w:jc w:val="both"/>
        <w:rPr>
          <w:sz w:val="24"/>
        </w:rPr>
      </w:pPr>
      <w:r>
        <w:rPr>
          <w:spacing w:val="-1"/>
          <w:sz w:val="24"/>
        </w:rPr>
        <w:t>從與其訂立合同的客戶取得關於不動產的資訊，尤其不動產的法律狀況、</w:t>
      </w:r>
      <w:r>
        <w:rPr>
          <w:spacing w:val="-3"/>
          <w:sz w:val="24"/>
        </w:rPr>
        <w:t>特徵、價格及付款條件，並將該等資訊以清楚、客觀及適當的方式提供予其他客戶及利害關係人。</w:t>
      </w:r>
    </w:p>
    <w:p>
      <w:pPr>
        <w:pStyle w:val="7"/>
        <w:numPr>
          <w:ilvl w:val="1"/>
          <w:numId w:val="5"/>
        </w:numPr>
        <w:tabs>
          <w:tab w:val="left" w:pos="1002"/>
        </w:tabs>
        <w:spacing w:before="182" w:after="0" w:line="285" w:lineRule="auto"/>
        <w:ind w:left="1001" w:right="1259" w:hanging="480"/>
        <w:jc w:val="both"/>
        <w:rPr>
          <w:sz w:val="24"/>
        </w:rPr>
      </w:pPr>
      <w:r>
        <w:rPr>
          <w:spacing w:val="-4"/>
          <w:sz w:val="24"/>
        </w:rPr>
        <w:t>在訂立房地產中介合同時，進行一切合理程序並採取一切應有的措施核實不動產的特徵是否與客戶提供的一致，以及不動產是否設有任何責任或負</w:t>
      </w:r>
      <w:r>
        <w:rPr>
          <w:sz w:val="24"/>
        </w:rPr>
        <w:t>擔。</w:t>
      </w:r>
    </w:p>
    <w:p>
      <w:pPr>
        <w:pStyle w:val="3"/>
        <w:spacing w:before="182" w:line="285" w:lineRule="auto"/>
        <w:ind w:left="1014" w:right="1212"/>
      </w:pPr>
      <w:r>
        <w:t>為履行上述義務，房地產中介人必須取得以下資料，在提供服務時向客戶及利害關係人提供：</w:t>
      </w:r>
    </w:p>
    <w:p>
      <w:pPr>
        <w:spacing w:after="0" w:line="285" w:lineRule="auto"/>
        <w:sectPr>
          <w:pgSz w:w="11910" w:h="16840"/>
          <w:pgMar w:top="1140" w:right="440" w:bottom="280" w:left="1540" w:header="720" w:footer="720" w:gutter="0"/>
        </w:sectPr>
      </w:pPr>
    </w:p>
    <w:p>
      <w:pPr>
        <w:pStyle w:val="7"/>
        <w:numPr>
          <w:ilvl w:val="2"/>
          <w:numId w:val="5"/>
        </w:numPr>
        <w:tabs>
          <w:tab w:val="left" w:pos="1438"/>
          <w:tab w:val="left" w:pos="1439"/>
        </w:tabs>
        <w:spacing w:before="46" w:after="0" w:line="240" w:lineRule="auto"/>
        <w:ind w:left="1438" w:right="0" w:hanging="425"/>
        <w:jc w:val="left"/>
        <w:rPr>
          <w:sz w:val="24"/>
        </w:rPr>
      </w:pPr>
      <w:r>
        <w:rPr>
          <w:sz w:val="24"/>
        </w:rPr>
        <w:t>業權狀況</w:t>
      </w:r>
    </w:p>
    <w:p>
      <w:pPr>
        <w:pStyle w:val="7"/>
        <w:numPr>
          <w:ilvl w:val="2"/>
          <w:numId w:val="5"/>
        </w:numPr>
        <w:tabs>
          <w:tab w:val="left" w:pos="1438"/>
          <w:tab w:val="left" w:pos="1439"/>
        </w:tabs>
        <w:spacing w:before="25" w:after="0" w:line="240" w:lineRule="auto"/>
        <w:ind w:left="1438" w:right="0" w:hanging="425"/>
        <w:jc w:val="left"/>
        <w:rPr>
          <w:sz w:val="24"/>
        </w:rPr>
      </w:pPr>
      <w:r>
        <w:rPr>
          <w:sz w:val="24"/>
        </w:rPr>
        <w:t>責任或負擔</w:t>
      </w:r>
    </w:p>
    <w:p>
      <w:pPr>
        <w:pStyle w:val="7"/>
        <w:numPr>
          <w:ilvl w:val="2"/>
          <w:numId w:val="5"/>
        </w:numPr>
        <w:tabs>
          <w:tab w:val="left" w:pos="1438"/>
          <w:tab w:val="left" w:pos="1439"/>
        </w:tabs>
        <w:spacing w:before="24" w:after="0" w:line="240" w:lineRule="auto"/>
        <w:ind w:left="1438" w:right="0" w:hanging="425"/>
        <w:jc w:val="left"/>
        <w:rPr>
          <w:sz w:val="24"/>
        </w:rPr>
      </w:pPr>
      <w:r>
        <w:rPr>
          <w:sz w:val="24"/>
        </w:rPr>
        <w:t>實用面積及建築面積</w:t>
      </w:r>
    </w:p>
    <w:p>
      <w:pPr>
        <w:pStyle w:val="7"/>
        <w:numPr>
          <w:ilvl w:val="2"/>
          <w:numId w:val="5"/>
        </w:numPr>
        <w:tabs>
          <w:tab w:val="left" w:pos="1438"/>
          <w:tab w:val="left" w:pos="1439"/>
        </w:tabs>
        <w:spacing w:before="25" w:after="0" w:line="240" w:lineRule="auto"/>
        <w:ind w:left="1438" w:right="0" w:hanging="425"/>
        <w:jc w:val="left"/>
        <w:rPr>
          <w:sz w:val="24"/>
        </w:rPr>
      </w:pPr>
      <w:r>
        <w:rPr>
          <w:sz w:val="24"/>
        </w:rPr>
        <w:t>樓齡</w:t>
      </w:r>
      <w:r>
        <w:rPr>
          <w:rFonts w:ascii="Times New Roman" w:hAnsi="Times New Roman" w:eastAsia="Times New Roman"/>
          <w:sz w:val="24"/>
        </w:rPr>
        <w:t>/</w:t>
      </w:r>
      <w:r>
        <w:rPr>
          <w:sz w:val="24"/>
        </w:rPr>
        <w:t>落成年份</w:t>
      </w:r>
    </w:p>
    <w:p>
      <w:pPr>
        <w:pStyle w:val="7"/>
        <w:numPr>
          <w:ilvl w:val="2"/>
          <w:numId w:val="5"/>
        </w:numPr>
        <w:tabs>
          <w:tab w:val="left" w:pos="1438"/>
          <w:tab w:val="left" w:pos="1439"/>
        </w:tabs>
        <w:spacing w:before="24" w:after="0" w:line="240" w:lineRule="auto"/>
        <w:ind w:left="1438" w:right="0" w:hanging="425"/>
        <w:jc w:val="left"/>
        <w:rPr>
          <w:sz w:val="24"/>
        </w:rPr>
      </w:pPr>
      <w:r>
        <w:rPr>
          <w:sz w:val="24"/>
        </w:rPr>
        <w:t>用途</w:t>
      </w:r>
    </w:p>
    <w:p>
      <w:pPr>
        <w:pStyle w:val="7"/>
        <w:numPr>
          <w:ilvl w:val="2"/>
          <w:numId w:val="5"/>
        </w:numPr>
        <w:tabs>
          <w:tab w:val="left" w:pos="1438"/>
          <w:tab w:val="left" w:pos="1439"/>
        </w:tabs>
        <w:spacing w:before="24" w:after="0" w:line="240" w:lineRule="auto"/>
        <w:ind w:left="1438" w:right="0" w:hanging="425"/>
        <w:jc w:val="left"/>
        <w:rPr>
          <w:sz w:val="24"/>
        </w:rPr>
      </w:pPr>
      <w:r>
        <w:rPr>
          <w:sz w:val="24"/>
        </w:rPr>
        <w:t>土地的性質及使用年期</w:t>
      </w:r>
    </w:p>
    <w:p>
      <w:pPr>
        <w:pStyle w:val="7"/>
        <w:numPr>
          <w:ilvl w:val="2"/>
          <w:numId w:val="5"/>
        </w:numPr>
        <w:tabs>
          <w:tab w:val="left" w:pos="1438"/>
          <w:tab w:val="left" w:pos="1439"/>
        </w:tabs>
        <w:spacing w:before="25" w:after="0" w:line="240" w:lineRule="auto"/>
        <w:ind w:left="1438" w:right="0" w:hanging="425"/>
        <w:jc w:val="left"/>
        <w:rPr>
          <w:sz w:val="24"/>
        </w:rPr>
      </w:pPr>
      <w:r>
        <w:rPr>
          <w:sz w:val="24"/>
        </w:rPr>
        <w:t>業主的聲明等</w:t>
      </w:r>
    </w:p>
    <w:p>
      <w:pPr>
        <w:pStyle w:val="3"/>
        <w:spacing w:before="91" w:line="335" w:lineRule="exact"/>
        <w:ind w:left="1014"/>
      </w:pPr>
      <w:r>
        <w:t>上述資料主要透過以下文件核實：</w:t>
      </w:r>
    </w:p>
    <w:p>
      <w:pPr>
        <w:pStyle w:val="7"/>
        <w:numPr>
          <w:ilvl w:val="2"/>
          <w:numId w:val="5"/>
        </w:numPr>
        <w:tabs>
          <w:tab w:val="left" w:pos="1438"/>
          <w:tab w:val="left" w:pos="1439"/>
        </w:tabs>
        <w:spacing w:before="0" w:after="0" w:line="335" w:lineRule="exact"/>
        <w:ind w:left="1438" w:right="0" w:hanging="425"/>
        <w:jc w:val="left"/>
        <w:rPr>
          <w:sz w:val="24"/>
        </w:rPr>
      </w:pPr>
      <w:r>
        <w:rPr>
          <w:sz w:val="24"/>
        </w:rPr>
        <w:t>業主的身份證明文件</w:t>
      </w:r>
    </w:p>
    <w:p>
      <w:pPr>
        <w:pStyle w:val="7"/>
        <w:numPr>
          <w:ilvl w:val="2"/>
          <w:numId w:val="5"/>
        </w:numPr>
        <w:tabs>
          <w:tab w:val="left" w:pos="1438"/>
          <w:tab w:val="left" w:pos="1439"/>
        </w:tabs>
        <w:spacing w:before="25" w:after="0" w:line="240" w:lineRule="auto"/>
        <w:ind w:left="1438" w:right="0" w:hanging="425"/>
        <w:jc w:val="left"/>
        <w:rPr>
          <w:sz w:val="24"/>
        </w:rPr>
      </w:pPr>
      <w:r>
        <w:rPr>
          <w:sz w:val="24"/>
        </w:rPr>
        <w:t>物業登記局發出的有效物業登記證明或書面報告（</w:t>
      </w:r>
      <w:r>
        <w:rPr>
          <w:rFonts w:ascii="Times New Roman" w:hAnsi="Times New Roman" w:eastAsia="Times New Roman"/>
          <w:sz w:val="24"/>
        </w:rPr>
        <w:t>“</w:t>
      </w:r>
      <w:r>
        <w:rPr>
          <w:sz w:val="24"/>
        </w:rPr>
        <w:t>查屋紙</w:t>
      </w:r>
      <w:r>
        <w:rPr>
          <w:rFonts w:ascii="Times New Roman" w:hAnsi="Times New Roman" w:eastAsia="Times New Roman"/>
          <w:sz w:val="24"/>
        </w:rPr>
        <w:t>”</w:t>
      </w:r>
      <w:r>
        <w:rPr>
          <w:sz w:val="24"/>
        </w:rPr>
        <w:t>）</w:t>
      </w:r>
    </w:p>
    <w:p>
      <w:pPr>
        <w:pStyle w:val="7"/>
        <w:numPr>
          <w:ilvl w:val="2"/>
          <w:numId w:val="5"/>
        </w:numPr>
        <w:tabs>
          <w:tab w:val="left" w:pos="1438"/>
          <w:tab w:val="left" w:pos="1439"/>
        </w:tabs>
        <w:spacing w:before="25" w:after="0" w:line="240" w:lineRule="auto"/>
        <w:ind w:left="1438" w:right="0" w:hanging="425"/>
        <w:jc w:val="left"/>
        <w:rPr>
          <w:sz w:val="24"/>
        </w:rPr>
      </w:pPr>
      <w:r>
        <w:rPr>
          <w:sz w:val="24"/>
        </w:rPr>
        <w:t>土地工務運輸局發出的使用准照和圖則</w:t>
      </w:r>
    </w:p>
    <w:p>
      <w:pPr>
        <w:pStyle w:val="7"/>
        <w:numPr>
          <w:ilvl w:val="2"/>
          <w:numId w:val="5"/>
        </w:numPr>
        <w:tabs>
          <w:tab w:val="left" w:pos="1438"/>
          <w:tab w:val="left" w:pos="1439"/>
        </w:tabs>
        <w:spacing w:before="24" w:after="0" w:line="240" w:lineRule="auto"/>
        <w:ind w:left="1438" w:right="0" w:hanging="425"/>
        <w:jc w:val="left"/>
        <w:rPr>
          <w:sz w:val="24"/>
        </w:rPr>
      </w:pPr>
      <w:r>
        <w:rPr>
          <w:sz w:val="24"/>
        </w:rPr>
        <w:t>業主以書面形式填寫物業狀況披露聲明</w:t>
      </w:r>
    </w:p>
    <w:p>
      <w:pPr>
        <w:pStyle w:val="3"/>
        <w:spacing w:before="92" w:line="285" w:lineRule="auto"/>
        <w:ind w:left="1014" w:right="1206"/>
      </w:pPr>
      <w:r>
        <w:t>房地產中介人有責任盡可能向客戶及利害關係人提供上述資料，未能提供之資料房地產中介人亦應如實告知。</w:t>
      </w:r>
    </w:p>
    <w:p>
      <w:pPr>
        <w:pStyle w:val="7"/>
        <w:numPr>
          <w:ilvl w:val="1"/>
          <w:numId w:val="5"/>
        </w:numPr>
        <w:tabs>
          <w:tab w:val="left" w:pos="1002"/>
        </w:tabs>
        <w:spacing w:before="180" w:after="0" w:line="240" w:lineRule="auto"/>
        <w:ind w:left="1002" w:right="0" w:hanging="481"/>
        <w:jc w:val="left"/>
        <w:rPr>
          <w:sz w:val="24"/>
        </w:rPr>
      </w:pPr>
      <w:r>
        <w:rPr>
          <w:sz w:val="24"/>
        </w:rPr>
        <w:t>以不使人誤解的方式將其負責促成的法律行為準確及清楚地告知客戶。</w:t>
      </w:r>
    </w:p>
    <w:p>
      <w:pPr>
        <w:pStyle w:val="3"/>
        <w:spacing w:before="7"/>
        <w:rPr>
          <w:sz w:val="17"/>
        </w:rPr>
      </w:pPr>
    </w:p>
    <w:p>
      <w:pPr>
        <w:pStyle w:val="7"/>
        <w:numPr>
          <w:ilvl w:val="1"/>
          <w:numId w:val="5"/>
        </w:numPr>
        <w:tabs>
          <w:tab w:val="left" w:pos="1002"/>
        </w:tabs>
        <w:spacing w:before="0" w:after="0" w:line="285" w:lineRule="auto"/>
        <w:ind w:left="1001" w:right="1252" w:hanging="480"/>
        <w:jc w:val="both"/>
        <w:rPr>
          <w:sz w:val="24"/>
        </w:rPr>
      </w:pPr>
      <w:r>
        <w:rPr>
          <w:spacing w:val="7"/>
          <w:sz w:val="24"/>
        </w:rPr>
        <w:t>即時向客戶滙報有關與房地產中介合同所指法律行為有利害關係的事實</w:t>
      </w:r>
      <w:r>
        <w:rPr>
          <w:sz w:val="24"/>
        </w:rPr>
        <w:t>及任何影響該法律行為的訂立的事實。</w:t>
      </w:r>
    </w:p>
    <w:p>
      <w:pPr>
        <w:pStyle w:val="7"/>
        <w:numPr>
          <w:ilvl w:val="0"/>
          <w:numId w:val="5"/>
        </w:numPr>
        <w:tabs>
          <w:tab w:val="left" w:pos="522"/>
        </w:tabs>
        <w:spacing w:before="181" w:after="0" w:line="285" w:lineRule="auto"/>
        <w:ind w:left="521" w:right="1253" w:hanging="360"/>
        <w:jc w:val="both"/>
        <w:rPr>
          <w:sz w:val="24"/>
        </w:rPr>
      </w:pPr>
      <w:r>
        <w:rPr>
          <w:spacing w:val="-4"/>
          <w:sz w:val="24"/>
        </w:rPr>
        <w:t>將已訂立的房地產中介合同存檔及保存五年。須服從房屋局的監察，並讓其適</w:t>
      </w:r>
      <w:r>
        <w:rPr>
          <w:spacing w:val="4"/>
          <w:sz w:val="24"/>
        </w:rPr>
        <w:t>當表明身份的工作人員進入商業營業場所查閱及索取存檔合同及其他與房地</w:t>
      </w:r>
      <w:r>
        <w:rPr>
          <w:sz w:val="24"/>
        </w:rPr>
        <w:t>產中介活動有關的文件。</w:t>
      </w:r>
    </w:p>
    <w:p>
      <w:pPr>
        <w:pStyle w:val="7"/>
        <w:numPr>
          <w:ilvl w:val="0"/>
          <w:numId w:val="5"/>
        </w:numPr>
        <w:tabs>
          <w:tab w:val="left" w:pos="522"/>
        </w:tabs>
        <w:spacing w:before="182" w:after="0" w:line="285" w:lineRule="auto"/>
        <w:ind w:left="521" w:right="1259" w:hanging="360"/>
        <w:jc w:val="both"/>
        <w:rPr>
          <w:sz w:val="24"/>
        </w:rPr>
      </w:pPr>
      <w:r>
        <w:rPr>
          <w:spacing w:val="-4"/>
          <w:sz w:val="24"/>
        </w:rPr>
        <w:t>房地產中介人不得將其客戶轉介予其他房地產中介人。房地產經紀亦不得將其所屬房地產中介人的客戶轉介予其他房地產中介人。兩者均不得將客戶或不動產的資料披露予其他房地產中介人或其房地產經紀，但獲房地產經紀所屬的房</w:t>
      </w:r>
      <w:r>
        <w:rPr>
          <w:sz w:val="24"/>
        </w:rPr>
        <w:t>地產中介人及該客戶同意者除外。</w:t>
      </w:r>
    </w:p>
    <w:p>
      <w:pPr>
        <w:pStyle w:val="7"/>
        <w:numPr>
          <w:ilvl w:val="0"/>
          <w:numId w:val="5"/>
        </w:numPr>
        <w:tabs>
          <w:tab w:val="left" w:pos="522"/>
        </w:tabs>
        <w:spacing w:before="184" w:after="0" w:line="285" w:lineRule="auto"/>
        <w:ind w:left="521" w:right="1253" w:hanging="360"/>
        <w:jc w:val="both"/>
        <w:rPr>
          <w:sz w:val="24"/>
        </w:rPr>
      </w:pPr>
      <w:r>
        <w:rPr>
          <w:spacing w:val="4"/>
          <w:sz w:val="24"/>
        </w:rPr>
        <w:t>在指定的期限內，向房屋局提供其所要求的與從事房地產中介業務有關的資</w:t>
      </w:r>
      <w:r>
        <w:rPr>
          <w:sz w:val="24"/>
        </w:rPr>
        <w:t>料。</w:t>
      </w:r>
    </w:p>
    <w:p>
      <w:pPr>
        <w:pStyle w:val="7"/>
        <w:numPr>
          <w:ilvl w:val="0"/>
          <w:numId w:val="5"/>
        </w:numPr>
        <w:tabs>
          <w:tab w:val="left" w:pos="522"/>
        </w:tabs>
        <w:spacing w:before="180" w:after="0" w:line="285" w:lineRule="auto"/>
        <w:ind w:left="521" w:right="1199" w:hanging="360"/>
        <w:jc w:val="both"/>
        <w:rPr>
          <w:sz w:val="24"/>
        </w:rPr>
      </w:pPr>
      <w:r>
        <w:rPr>
          <w:spacing w:val="-11"/>
          <w:sz w:val="24"/>
        </w:rPr>
        <w:t xml:space="preserve">房地產中介人及其全體僱員，包括行政管理機關成員、董事、經理或輔助人員， </w:t>
      </w:r>
      <w:r>
        <w:rPr>
          <w:spacing w:val="-9"/>
          <w:sz w:val="24"/>
        </w:rPr>
        <w:t>以及房地產經紀，須就從事業務時直接或間接所知悉的事實、資訊及個人資料遵守保密義務。上述人士在其業務或職務終止後，仍須遵守保密義務。</w:t>
      </w:r>
    </w:p>
    <w:p>
      <w:pPr>
        <w:pStyle w:val="7"/>
        <w:numPr>
          <w:ilvl w:val="0"/>
          <w:numId w:val="5"/>
        </w:numPr>
        <w:tabs>
          <w:tab w:val="left" w:pos="522"/>
        </w:tabs>
        <w:spacing w:before="182" w:after="0" w:line="240" w:lineRule="auto"/>
        <w:ind w:left="522" w:right="0" w:hanging="360"/>
        <w:jc w:val="both"/>
        <w:rPr>
          <w:sz w:val="24"/>
        </w:rPr>
      </w:pPr>
      <w:r>
        <w:rPr>
          <w:sz w:val="24"/>
        </w:rPr>
        <w:t>通知義務</w:t>
      </w:r>
    </w:p>
    <w:p>
      <w:pPr>
        <w:pStyle w:val="3"/>
        <w:spacing w:before="7"/>
        <w:rPr>
          <w:sz w:val="17"/>
        </w:rPr>
      </w:pPr>
    </w:p>
    <w:p>
      <w:pPr>
        <w:pStyle w:val="7"/>
        <w:numPr>
          <w:ilvl w:val="1"/>
          <w:numId w:val="5"/>
        </w:numPr>
        <w:tabs>
          <w:tab w:val="left" w:pos="1002"/>
        </w:tabs>
        <w:spacing w:before="1" w:after="0" w:line="288" w:lineRule="auto"/>
        <w:ind w:left="1001" w:right="1255" w:hanging="480"/>
        <w:jc w:val="both"/>
        <w:rPr>
          <w:sz w:val="24"/>
        </w:rPr>
      </w:pPr>
      <w:r>
        <w:rPr>
          <w:spacing w:val="-1"/>
          <w:sz w:val="24"/>
        </w:rPr>
        <w:t xml:space="preserve">根據經第 </w:t>
      </w:r>
      <w:r>
        <w:rPr>
          <w:rFonts w:ascii="Times New Roman" w:eastAsia="Times New Roman"/>
          <w:sz w:val="24"/>
        </w:rPr>
        <w:t>7/2014</w:t>
      </w:r>
      <w:r>
        <w:rPr>
          <w:rFonts w:ascii="Times New Roman" w:eastAsia="Times New Roman"/>
          <w:spacing w:val="1"/>
          <w:sz w:val="24"/>
        </w:rPr>
        <w:t xml:space="preserve"> </w:t>
      </w:r>
      <w:r>
        <w:rPr>
          <w:spacing w:val="-1"/>
          <w:sz w:val="24"/>
        </w:rPr>
        <w:t xml:space="preserve">號法律修改的第 </w:t>
      </w:r>
      <w:r>
        <w:rPr>
          <w:rFonts w:ascii="Times New Roman" w:eastAsia="Times New Roman"/>
          <w:sz w:val="24"/>
        </w:rPr>
        <w:t xml:space="preserve">16/2012 </w:t>
      </w:r>
      <w:r>
        <w:rPr>
          <w:spacing w:val="-6"/>
          <w:sz w:val="24"/>
        </w:rPr>
        <w:t>號法律《房地產中介業務法》的</w:t>
      </w:r>
      <w:r>
        <w:rPr>
          <w:sz w:val="24"/>
        </w:rPr>
        <w:t>規定，須將以下事實通知房屋局：</w:t>
      </w:r>
    </w:p>
    <w:p>
      <w:pPr>
        <w:pStyle w:val="7"/>
        <w:numPr>
          <w:ilvl w:val="0"/>
          <w:numId w:val="6"/>
        </w:numPr>
        <w:tabs>
          <w:tab w:val="left" w:pos="1438"/>
          <w:tab w:val="left" w:pos="1439"/>
        </w:tabs>
        <w:spacing w:before="174" w:after="0" w:line="285" w:lineRule="auto"/>
        <w:ind w:left="1438" w:right="1257" w:hanging="425"/>
        <w:jc w:val="left"/>
        <w:rPr>
          <w:sz w:val="24"/>
        </w:rPr>
      </w:pPr>
      <w:r>
        <w:rPr>
          <w:spacing w:val="6"/>
          <w:sz w:val="24"/>
        </w:rPr>
        <w:t>房地產中介人</w:t>
      </w:r>
      <w:r>
        <w:rPr>
          <w:rFonts w:ascii="Times New Roman" w:eastAsia="Times New Roman"/>
          <w:spacing w:val="8"/>
          <w:sz w:val="24"/>
        </w:rPr>
        <w:t>(</w:t>
      </w:r>
      <w:r>
        <w:rPr>
          <w:spacing w:val="6"/>
          <w:sz w:val="24"/>
        </w:rPr>
        <w:t>包括自然人商業企業主及公司</w:t>
      </w:r>
      <w:r>
        <w:rPr>
          <w:rFonts w:ascii="Times New Roman" w:eastAsia="Times New Roman"/>
          <w:spacing w:val="2"/>
          <w:sz w:val="24"/>
        </w:rPr>
        <w:t xml:space="preserve">) </w:t>
      </w:r>
      <w:r>
        <w:rPr>
          <w:spacing w:val="5"/>
          <w:sz w:val="24"/>
        </w:rPr>
        <w:t>的從業要件的遵守情</w:t>
      </w:r>
      <w:r>
        <w:rPr>
          <w:spacing w:val="7"/>
          <w:sz w:val="24"/>
        </w:rPr>
        <w:t xml:space="preserve">況有變更，須自發生變更之日或獲悉變更之日起 </w:t>
      </w:r>
      <w:r>
        <w:rPr>
          <w:rFonts w:ascii="Times New Roman" w:eastAsia="Times New Roman"/>
          <w:sz w:val="24"/>
        </w:rPr>
        <w:t xml:space="preserve">10  </w:t>
      </w:r>
      <w:r>
        <w:rPr>
          <w:sz w:val="24"/>
        </w:rPr>
        <w:t>日內通知；</w:t>
      </w:r>
    </w:p>
    <w:p>
      <w:pPr>
        <w:spacing w:after="0" w:line="285" w:lineRule="auto"/>
        <w:jc w:val="left"/>
        <w:rPr>
          <w:sz w:val="24"/>
        </w:rPr>
        <w:sectPr>
          <w:pgSz w:w="11910" w:h="16840"/>
          <w:pgMar w:top="1080" w:right="440" w:bottom="280" w:left="1540" w:header="720" w:footer="720" w:gutter="0"/>
        </w:sectPr>
      </w:pPr>
    </w:p>
    <w:p>
      <w:pPr>
        <w:pStyle w:val="7"/>
        <w:numPr>
          <w:ilvl w:val="0"/>
          <w:numId w:val="6"/>
        </w:numPr>
        <w:tabs>
          <w:tab w:val="left" w:pos="1439"/>
        </w:tabs>
        <w:spacing w:before="53" w:after="0" w:line="285" w:lineRule="auto"/>
        <w:ind w:left="1438" w:right="1255" w:hanging="425"/>
        <w:jc w:val="both"/>
        <w:rPr>
          <w:sz w:val="24"/>
        </w:rPr>
      </w:pPr>
      <w:r>
        <w:rPr>
          <w:spacing w:val="-4"/>
          <w:sz w:val="24"/>
        </w:rPr>
        <w:t xml:space="preserve">房地產經紀的從業要件有變更，該經紀有義務須自發生變更之日起 </w:t>
      </w:r>
      <w:r>
        <w:rPr>
          <w:rFonts w:ascii="Times New Roman" w:eastAsia="Times New Roman"/>
          <w:spacing w:val="-8"/>
          <w:sz w:val="24"/>
        </w:rPr>
        <w:t xml:space="preserve">10 </w:t>
      </w:r>
      <w:r>
        <w:rPr>
          <w:spacing w:val="-7"/>
          <w:sz w:val="24"/>
        </w:rPr>
        <w:t xml:space="preserve">日內通知其所屬的房地產中介人；而該中介人須自獲悉之日起 </w:t>
      </w:r>
      <w:r>
        <w:rPr>
          <w:rFonts w:ascii="Times New Roman" w:eastAsia="Times New Roman"/>
          <w:sz w:val="24"/>
        </w:rPr>
        <w:t xml:space="preserve">10 </w:t>
      </w:r>
      <w:r>
        <w:rPr>
          <w:spacing w:val="-8"/>
          <w:sz w:val="24"/>
        </w:rPr>
        <w:t>日內</w:t>
      </w:r>
      <w:r>
        <w:rPr>
          <w:sz w:val="24"/>
        </w:rPr>
        <w:t>通知；</w:t>
      </w:r>
    </w:p>
    <w:p>
      <w:pPr>
        <w:pStyle w:val="7"/>
        <w:numPr>
          <w:ilvl w:val="0"/>
          <w:numId w:val="6"/>
        </w:numPr>
        <w:tabs>
          <w:tab w:val="left" w:pos="1439"/>
        </w:tabs>
        <w:spacing w:before="183" w:after="0" w:line="285" w:lineRule="auto"/>
        <w:ind w:left="1438" w:right="1257" w:hanging="425"/>
        <w:jc w:val="both"/>
        <w:rPr>
          <w:sz w:val="24"/>
        </w:rPr>
      </w:pPr>
      <w:r>
        <w:rPr>
          <w:sz w:val="24"/>
        </w:rPr>
        <w:t xml:space="preserve">僱用房地產經紀及終止其勞務聯繫的事實，須自發生之日起 </w:t>
      </w:r>
      <w:r>
        <w:rPr>
          <w:rFonts w:ascii="Times New Roman" w:eastAsia="Times New Roman"/>
          <w:sz w:val="24"/>
        </w:rPr>
        <w:t>10</w:t>
      </w:r>
      <w:r>
        <w:rPr>
          <w:rFonts w:ascii="Times New Roman" w:eastAsia="Times New Roman"/>
          <w:spacing w:val="10"/>
          <w:sz w:val="24"/>
        </w:rPr>
        <w:t xml:space="preserve"> </w:t>
      </w:r>
      <w:r>
        <w:rPr>
          <w:spacing w:val="-7"/>
          <w:sz w:val="24"/>
        </w:rPr>
        <w:t>日內</w:t>
      </w:r>
      <w:r>
        <w:rPr>
          <w:sz w:val="24"/>
        </w:rPr>
        <w:t>通知；</w:t>
      </w:r>
    </w:p>
    <w:p>
      <w:pPr>
        <w:pStyle w:val="7"/>
        <w:numPr>
          <w:ilvl w:val="0"/>
          <w:numId w:val="6"/>
        </w:numPr>
        <w:tabs>
          <w:tab w:val="left" w:pos="1439"/>
        </w:tabs>
        <w:spacing w:before="182" w:after="0" w:line="240" w:lineRule="auto"/>
        <w:ind w:left="1438" w:right="0" w:hanging="425"/>
        <w:jc w:val="both"/>
        <w:rPr>
          <w:sz w:val="24"/>
        </w:rPr>
      </w:pPr>
      <w:r>
        <w:rPr>
          <w:spacing w:val="2"/>
          <w:sz w:val="24"/>
        </w:rPr>
        <w:t xml:space="preserve">房地產中介人終止其業務，須自終止之日起 </w:t>
      </w:r>
      <w:r>
        <w:rPr>
          <w:rFonts w:ascii="Times New Roman" w:eastAsia="Times New Roman"/>
          <w:sz w:val="24"/>
        </w:rPr>
        <w:t xml:space="preserve">10  </w:t>
      </w:r>
      <w:r>
        <w:rPr>
          <w:sz w:val="24"/>
        </w:rPr>
        <w:t>日內通知；</w:t>
      </w:r>
    </w:p>
    <w:p>
      <w:pPr>
        <w:pStyle w:val="3"/>
        <w:spacing w:before="5"/>
        <w:rPr>
          <w:sz w:val="17"/>
        </w:rPr>
      </w:pPr>
    </w:p>
    <w:p>
      <w:pPr>
        <w:pStyle w:val="7"/>
        <w:numPr>
          <w:ilvl w:val="0"/>
          <w:numId w:val="6"/>
        </w:numPr>
        <w:tabs>
          <w:tab w:val="left" w:pos="1438"/>
          <w:tab w:val="left" w:pos="1439"/>
        </w:tabs>
        <w:spacing w:before="0" w:after="0" w:line="285" w:lineRule="auto"/>
        <w:ind w:left="1438" w:right="1262" w:hanging="425"/>
        <w:jc w:val="left"/>
        <w:rPr>
          <w:sz w:val="24"/>
        </w:rPr>
      </w:pPr>
      <w:r>
        <w:rPr>
          <w:spacing w:val="-1"/>
          <w:sz w:val="24"/>
        </w:rPr>
        <w:t xml:space="preserve">如房地產中介人屬公司，當公司合同、章程或公司機關據位人有變更時，須自發生變更之日起 </w:t>
      </w:r>
      <w:r>
        <w:rPr>
          <w:rFonts w:ascii="Times New Roman" w:eastAsia="Times New Roman"/>
          <w:sz w:val="24"/>
        </w:rPr>
        <w:t xml:space="preserve">10 </w:t>
      </w:r>
      <w:r>
        <w:rPr>
          <w:sz w:val="24"/>
        </w:rPr>
        <w:t>日通知。</w:t>
      </w:r>
    </w:p>
    <w:p>
      <w:pPr>
        <w:pStyle w:val="7"/>
        <w:numPr>
          <w:ilvl w:val="1"/>
          <w:numId w:val="5"/>
        </w:numPr>
        <w:tabs>
          <w:tab w:val="left" w:pos="1002"/>
        </w:tabs>
        <w:spacing w:before="184" w:after="0" w:line="285" w:lineRule="auto"/>
        <w:ind w:left="1001" w:right="1255" w:hanging="480"/>
        <w:jc w:val="left"/>
        <w:rPr>
          <w:sz w:val="24"/>
        </w:rPr>
      </w:pPr>
      <w:r>
        <w:rPr>
          <w:spacing w:val="-1"/>
          <w:sz w:val="24"/>
        </w:rPr>
        <w:t xml:space="preserve">根據經第 </w:t>
      </w:r>
      <w:r>
        <w:rPr>
          <w:rFonts w:ascii="Times New Roman" w:eastAsia="Times New Roman"/>
          <w:sz w:val="24"/>
        </w:rPr>
        <w:t>17/2014</w:t>
      </w:r>
      <w:r>
        <w:rPr>
          <w:rFonts w:ascii="Times New Roman" w:eastAsia="Times New Roman"/>
          <w:spacing w:val="1"/>
          <w:sz w:val="24"/>
        </w:rPr>
        <w:t xml:space="preserve"> </w:t>
      </w:r>
      <w:r>
        <w:rPr>
          <w:spacing w:val="-1"/>
          <w:sz w:val="24"/>
        </w:rPr>
        <w:t xml:space="preserve">號行政法規修改的第 </w:t>
      </w:r>
      <w:r>
        <w:rPr>
          <w:rFonts w:ascii="Times New Roman" w:eastAsia="Times New Roman"/>
          <w:sz w:val="24"/>
        </w:rPr>
        <w:t xml:space="preserve">4/2013 </w:t>
      </w:r>
      <w:r>
        <w:rPr>
          <w:spacing w:val="-5"/>
          <w:sz w:val="24"/>
        </w:rPr>
        <w:t>號行政法規的規定，須將以</w:t>
      </w:r>
      <w:r>
        <w:rPr>
          <w:sz w:val="24"/>
        </w:rPr>
        <w:t>下事實通知房屋局：</w:t>
      </w:r>
    </w:p>
    <w:p>
      <w:pPr>
        <w:pStyle w:val="7"/>
        <w:numPr>
          <w:ilvl w:val="0"/>
          <w:numId w:val="7"/>
        </w:numPr>
        <w:tabs>
          <w:tab w:val="left" w:pos="1438"/>
          <w:tab w:val="left" w:pos="1439"/>
        </w:tabs>
        <w:spacing w:before="180" w:after="0" w:line="285" w:lineRule="auto"/>
        <w:ind w:left="1438" w:right="1261" w:hanging="425"/>
        <w:jc w:val="left"/>
        <w:rPr>
          <w:sz w:val="24"/>
        </w:rPr>
      </w:pPr>
      <w:r>
        <w:rPr>
          <w:spacing w:val="-1"/>
          <w:sz w:val="24"/>
        </w:rPr>
        <w:t xml:space="preserve">倘若房地產中介人更改商業名稱或商業營業場所名稱，須自該事實發生之日起 </w:t>
      </w:r>
      <w:r>
        <w:rPr>
          <w:rFonts w:ascii="Times New Roman" w:eastAsia="Times New Roman"/>
          <w:sz w:val="24"/>
        </w:rPr>
        <w:t xml:space="preserve">30 </w:t>
      </w:r>
      <w:r>
        <w:rPr>
          <w:sz w:val="24"/>
        </w:rPr>
        <w:t>內將更改後的商業名稱或商業營業場所名稱作出通知；</w:t>
      </w:r>
    </w:p>
    <w:p>
      <w:pPr>
        <w:pStyle w:val="7"/>
        <w:numPr>
          <w:ilvl w:val="0"/>
          <w:numId w:val="7"/>
        </w:numPr>
        <w:tabs>
          <w:tab w:val="left" w:pos="1438"/>
          <w:tab w:val="left" w:pos="1439"/>
        </w:tabs>
        <w:spacing w:before="181" w:after="0" w:line="285" w:lineRule="auto"/>
        <w:ind w:left="1438" w:right="1261" w:hanging="425"/>
        <w:jc w:val="left"/>
        <w:rPr>
          <w:sz w:val="24"/>
        </w:rPr>
      </w:pPr>
      <w:r>
        <w:rPr>
          <w:spacing w:val="-1"/>
          <w:sz w:val="24"/>
        </w:rPr>
        <w:t xml:space="preserve">倘房地中介人開設新的商業營業場所或搬遷其商業營業場所的地點， 須於 </w:t>
      </w:r>
      <w:r>
        <w:rPr>
          <w:rFonts w:ascii="Times New Roman" w:eastAsia="Times New Roman"/>
          <w:sz w:val="24"/>
        </w:rPr>
        <w:t xml:space="preserve">30 </w:t>
      </w:r>
      <w:r>
        <w:rPr>
          <w:sz w:val="24"/>
        </w:rPr>
        <w:t>日前作出通知；</w:t>
      </w:r>
    </w:p>
    <w:p>
      <w:pPr>
        <w:pStyle w:val="7"/>
        <w:numPr>
          <w:ilvl w:val="0"/>
          <w:numId w:val="7"/>
        </w:numPr>
        <w:tabs>
          <w:tab w:val="left" w:pos="1438"/>
          <w:tab w:val="left" w:pos="1439"/>
        </w:tabs>
        <w:spacing w:before="183" w:after="0" w:line="240" w:lineRule="auto"/>
        <w:ind w:left="1438" w:right="0" w:hanging="425"/>
        <w:jc w:val="left"/>
        <w:rPr>
          <w:sz w:val="24"/>
        </w:rPr>
      </w:pPr>
      <w:r>
        <w:rPr>
          <w:spacing w:val="-1"/>
          <w:sz w:val="24"/>
        </w:rPr>
        <w:t xml:space="preserve">倘房地中介人關閉其商業營業場所，須於 </w:t>
      </w:r>
      <w:r>
        <w:rPr>
          <w:rFonts w:ascii="Times New Roman" w:eastAsia="Times New Roman"/>
          <w:sz w:val="24"/>
        </w:rPr>
        <w:t xml:space="preserve">30 </w:t>
      </w:r>
      <w:r>
        <w:rPr>
          <w:sz w:val="24"/>
        </w:rPr>
        <w:t>日前作出通知；</w:t>
      </w:r>
    </w:p>
    <w:p>
      <w:pPr>
        <w:pStyle w:val="3"/>
        <w:spacing w:before="5"/>
        <w:rPr>
          <w:sz w:val="17"/>
        </w:rPr>
      </w:pPr>
    </w:p>
    <w:p>
      <w:pPr>
        <w:pStyle w:val="7"/>
        <w:numPr>
          <w:ilvl w:val="0"/>
          <w:numId w:val="7"/>
        </w:numPr>
        <w:tabs>
          <w:tab w:val="left" w:pos="1438"/>
          <w:tab w:val="left" w:pos="1439"/>
        </w:tabs>
        <w:spacing w:before="0" w:after="0" w:line="285" w:lineRule="auto"/>
        <w:ind w:left="1438" w:right="1255" w:hanging="425"/>
        <w:jc w:val="left"/>
        <w:rPr>
          <w:sz w:val="24"/>
        </w:rPr>
      </w:pPr>
      <w:r>
        <w:rPr>
          <w:spacing w:val="-7"/>
          <w:sz w:val="24"/>
        </w:rPr>
        <w:t xml:space="preserve">倘若房地產中介人設立互聯網網頁，須就該事實發生之日起 </w:t>
      </w:r>
      <w:r>
        <w:rPr>
          <w:rFonts w:ascii="Times New Roman" w:eastAsia="Times New Roman"/>
          <w:sz w:val="24"/>
        </w:rPr>
        <w:t xml:space="preserve">30 </w:t>
      </w:r>
      <w:r>
        <w:rPr>
          <w:spacing w:val="-6"/>
          <w:sz w:val="24"/>
        </w:rPr>
        <w:t>日內將</w:t>
      </w:r>
      <w:r>
        <w:rPr>
          <w:sz w:val="24"/>
        </w:rPr>
        <w:t>有關網頁的網址作出通知。</w:t>
      </w:r>
    </w:p>
    <w:p>
      <w:pPr>
        <w:pStyle w:val="7"/>
        <w:numPr>
          <w:ilvl w:val="0"/>
          <w:numId w:val="5"/>
        </w:numPr>
        <w:tabs>
          <w:tab w:val="left" w:pos="522"/>
        </w:tabs>
        <w:spacing w:before="183" w:after="0" w:line="240" w:lineRule="auto"/>
        <w:ind w:left="522" w:right="0" w:hanging="360"/>
        <w:jc w:val="left"/>
        <w:rPr>
          <w:sz w:val="24"/>
        </w:rPr>
      </w:pPr>
      <w:r>
        <w:rPr>
          <w:sz w:val="24"/>
        </w:rPr>
        <w:t>房地產中介人與經紀關於終止業務的情況</w:t>
      </w:r>
    </w:p>
    <w:p>
      <w:pPr>
        <w:pStyle w:val="3"/>
        <w:spacing w:before="5"/>
        <w:rPr>
          <w:sz w:val="17"/>
        </w:rPr>
      </w:pPr>
    </w:p>
    <w:p>
      <w:pPr>
        <w:pStyle w:val="7"/>
        <w:numPr>
          <w:ilvl w:val="1"/>
          <w:numId w:val="5"/>
        </w:numPr>
        <w:tabs>
          <w:tab w:val="left" w:pos="1014"/>
        </w:tabs>
        <w:spacing w:before="0" w:after="0" w:line="240" w:lineRule="auto"/>
        <w:ind w:left="1014" w:right="0" w:hanging="425"/>
        <w:jc w:val="left"/>
        <w:rPr>
          <w:sz w:val="24"/>
        </w:rPr>
      </w:pPr>
      <w:r>
        <w:rPr>
          <w:sz w:val="24"/>
        </w:rPr>
        <w:t>房地產中介人</w:t>
      </w:r>
    </w:p>
    <w:p>
      <w:pPr>
        <w:pStyle w:val="3"/>
        <w:spacing w:before="7"/>
        <w:rPr>
          <w:sz w:val="17"/>
        </w:rPr>
      </w:pPr>
    </w:p>
    <w:p>
      <w:pPr>
        <w:pStyle w:val="7"/>
        <w:numPr>
          <w:ilvl w:val="0"/>
          <w:numId w:val="8"/>
        </w:numPr>
        <w:tabs>
          <w:tab w:val="left" w:pos="1439"/>
        </w:tabs>
        <w:spacing w:before="0" w:after="0" w:line="285" w:lineRule="auto"/>
        <w:ind w:left="1438" w:right="1255" w:hanging="425"/>
        <w:jc w:val="both"/>
        <w:rPr>
          <w:sz w:val="24"/>
        </w:rPr>
      </w:pPr>
      <w:r>
        <w:rPr>
          <w:sz w:val="24"/>
        </w:rPr>
        <w:t xml:space="preserve">倘房地產中介人會在一定期間內沒有經營房地產中介業務，此情況下建議提出中止或註銷房地產中介人准照之申請。否則，當房地產中介人在其准照有效期內連續 </w:t>
      </w:r>
      <w:r>
        <w:rPr>
          <w:rFonts w:ascii="Times New Roman" w:eastAsia="Times New Roman"/>
          <w:sz w:val="24"/>
        </w:rPr>
        <w:t>180</w:t>
      </w:r>
      <w:r>
        <w:rPr>
          <w:rFonts w:ascii="Times New Roman" w:eastAsia="Times New Roman"/>
          <w:spacing w:val="7"/>
          <w:sz w:val="24"/>
        </w:rPr>
        <w:t xml:space="preserve"> </w:t>
      </w:r>
      <w:r>
        <w:rPr>
          <w:spacing w:val="1"/>
          <w:sz w:val="24"/>
        </w:rPr>
        <w:t xml:space="preserve">日或間斷 </w:t>
      </w:r>
      <w:r>
        <w:rPr>
          <w:rFonts w:ascii="Times New Roman" w:eastAsia="Times New Roman"/>
          <w:sz w:val="24"/>
        </w:rPr>
        <w:t>360</w:t>
      </w:r>
      <w:r>
        <w:rPr>
          <w:rFonts w:ascii="Times New Roman" w:eastAsia="Times New Roman"/>
          <w:spacing w:val="7"/>
          <w:sz w:val="24"/>
        </w:rPr>
        <w:t xml:space="preserve"> </w:t>
      </w:r>
      <w:r>
        <w:rPr>
          <w:spacing w:val="-2"/>
          <w:sz w:val="24"/>
        </w:rPr>
        <w:t>日主動關閉其全部商業營</w:t>
      </w:r>
      <w:r>
        <w:rPr>
          <w:sz w:val="24"/>
        </w:rPr>
        <w:t>業場所會視為終止業務，此情況下將會被註銷房地產中介人准照。</w:t>
      </w:r>
    </w:p>
    <w:p>
      <w:pPr>
        <w:pStyle w:val="7"/>
        <w:numPr>
          <w:ilvl w:val="0"/>
          <w:numId w:val="8"/>
        </w:numPr>
        <w:tabs>
          <w:tab w:val="left" w:pos="1439"/>
        </w:tabs>
        <w:spacing w:before="184" w:after="0" w:line="285" w:lineRule="auto"/>
        <w:ind w:left="1438" w:right="1195" w:hanging="425"/>
        <w:jc w:val="both"/>
        <w:rPr>
          <w:sz w:val="24"/>
        </w:rPr>
      </w:pPr>
      <w:r>
        <w:rPr>
          <w:sz w:val="24"/>
        </w:rPr>
        <w:t>倘房地產中介人申請中止准照，該中止期間不得在其准照有效期內連</w:t>
      </w:r>
      <w:r>
        <w:rPr>
          <w:spacing w:val="-1"/>
          <w:sz w:val="24"/>
        </w:rPr>
        <w:t xml:space="preserve">續或間斷超過 </w:t>
      </w:r>
      <w:r>
        <w:rPr>
          <w:rFonts w:ascii="Times New Roman" w:eastAsia="Times New Roman"/>
          <w:sz w:val="24"/>
        </w:rPr>
        <w:t xml:space="preserve">12 </w:t>
      </w:r>
      <w:r>
        <w:rPr>
          <w:spacing w:val="-16"/>
          <w:sz w:val="24"/>
        </w:rPr>
        <w:t xml:space="preserve">個月。根據經第 </w:t>
      </w:r>
      <w:r>
        <w:rPr>
          <w:rFonts w:ascii="Times New Roman" w:eastAsia="Times New Roman"/>
          <w:sz w:val="24"/>
        </w:rPr>
        <w:t xml:space="preserve">7/2014 </w:t>
      </w:r>
      <w:r>
        <w:rPr>
          <w:spacing w:val="-1"/>
          <w:sz w:val="24"/>
        </w:rPr>
        <w:t xml:space="preserve">號法律修改的第 </w:t>
      </w:r>
      <w:r>
        <w:rPr>
          <w:rFonts w:ascii="Times New Roman" w:eastAsia="Times New Roman"/>
          <w:sz w:val="24"/>
        </w:rPr>
        <w:t xml:space="preserve">16/2012 </w:t>
      </w:r>
      <w:r>
        <w:rPr>
          <w:sz w:val="24"/>
        </w:rPr>
        <w:t>號法</w:t>
      </w:r>
      <w:r>
        <w:rPr>
          <w:spacing w:val="-10"/>
          <w:sz w:val="24"/>
        </w:rPr>
        <w:t xml:space="preserve">律《房地產中介業務法》第 </w:t>
      </w:r>
      <w:r>
        <w:rPr>
          <w:rFonts w:ascii="Times New Roman" w:eastAsia="Times New Roman"/>
          <w:sz w:val="24"/>
        </w:rPr>
        <w:t xml:space="preserve">8 </w:t>
      </w:r>
      <w:r>
        <w:rPr>
          <w:sz w:val="24"/>
        </w:rPr>
        <w:t>條</w:t>
      </w:r>
      <w:r>
        <w:rPr>
          <w:rFonts w:ascii="Times New Roman" w:eastAsia="Times New Roman"/>
          <w:sz w:val="24"/>
        </w:rPr>
        <w:t>(</w:t>
      </w:r>
      <w:r>
        <w:rPr>
          <w:sz w:val="24"/>
        </w:rPr>
        <w:t>取消中止</w:t>
      </w:r>
      <w:r>
        <w:rPr>
          <w:rFonts w:ascii="Times New Roman" w:eastAsia="Times New Roman"/>
          <w:sz w:val="24"/>
        </w:rPr>
        <w:t>)</w:t>
      </w:r>
      <w:r>
        <w:rPr>
          <w:spacing w:val="-1"/>
          <w:sz w:val="24"/>
        </w:rPr>
        <w:t xml:space="preserve">及經第 </w:t>
      </w:r>
      <w:r>
        <w:rPr>
          <w:rFonts w:ascii="Times New Roman" w:eastAsia="Times New Roman"/>
          <w:sz w:val="24"/>
        </w:rPr>
        <w:t>17/2014</w:t>
      </w:r>
      <w:r>
        <w:rPr>
          <w:rFonts w:ascii="Times New Roman" w:eastAsia="Times New Roman"/>
          <w:spacing w:val="1"/>
          <w:sz w:val="24"/>
        </w:rPr>
        <w:t xml:space="preserve"> </w:t>
      </w:r>
      <w:r>
        <w:rPr>
          <w:sz w:val="24"/>
        </w:rPr>
        <w:t xml:space="preserve">號行政法規修改的第 </w:t>
      </w:r>
      <w:r>
        <w:rPr>
          <w:rFonts w:ascii="Times New Roman" w:eastAsia="Times New Roman"/>
          <w:sz w:val="24"/>
        </w:rPr>
        <w:t>4/2013</w:t>
      </w:r>
      <w:r>
        <w:rPr>
          <w:rFonts w:ascii="Times New Roman" w:eastAsia="Times New Roman"/>
          <w:spacing w:val="7"/>
          <w:sz w:val="24"/>
        </w:rPr>
        <w:t xml:space="preserve"> </w:t>
      </w:r>
      <w:r>
        <w:rPr>
          <w:sz w:val="24"/>
        </w:rPr>
        <w:t xml:space="preserve">號行政法規第 </w:t>
      </w:r>
      <w:r>
        <w:rPr>
          <w:rFonts w:ascii="Times New Roman" w:eastAsia="Times New Roman"/>
          <w:sz w:val="24"/>
        </w:rPr>
        <w:t>8</w:t>
      </w:r>
      <w:r>
        <w:rPr>
          <w:rFonts w:ascii="Times New Roman" w:eastAsia="Times New Roman"/>
          <w:spacing w:val="6"/>
          <w:sz w:val="24"/>
        </w:rPr>
        <w:t xml:space="preserve"> </w:t>
      </w:r>
      <w:r>
        <w:rPr>
          <w:spacing w:val="1"/>
          <w:sz w:val="24"/>
        </w:rPr>
        <w:t xml:space="preserve">條第 </w:t>
      </w:r>
      <w:r>
        <w:rPr>
          <w:rFonts w:ascii="Times New Roman" w:eastAsia="Times New Roman"/>
          <w:sz w:val="24"/>
        </w:rPr>
        <w:t>2</w:t>
      </w:r>
      <w:r>
        <w:rPr>
          <w:rFonts w:ascii="Times New Roman" w:eastAsia="Times New Roman"/>
          <w:spacing w:val="7"/>
          <w:sz w:val="24"/>
        </w:rPr>
        <w:t xml:space="preserve"> </w:t>
      </w:r>
      <w:r>
        <w:rPr>
          <w:sz w:val="24"/>
        </w:rPr>
        <w:t>款</w:t>
      </w:r>
      <w:r>
        <w:rPr>
          <w:rFonts w:ascii="Times New Roman" w:eastAsia="Times New Roman"/>
          <w:sz w:val="24"/>
        </w:rPr>
        <w:t>(</w:t>
      </w:r>
      <w:r>
        <w:rPr>
          <w:sz w:val="24"/>
        </w:rPr>
        <w:t>中止准照</w:t>
      </w:r>
      <w:r>
        <w:rPr>
          <w:rFonts w:ascii="Times New Roman" w:eastAsia="Times New Roman"/>
          <w:sz w:val="24"/>
        </w:rPr>
        <w:t>)</w:t>
      </w:r>
      <w:r>
        <w:rPr>
          <w:sz w:val="24"/>
        </w:rPr>
        <w:t xml:space="preserve">之規定，倘房地產中介人欲再從事業務，在中止期間屆滿前或屆滿時均可申請取消中止准照，但須符合從業要件。如中止准照的期限屆滿且未取消中止， </w:t>
      </w:r>
      <w:r>
        <w:rPr>
          <w:spacing w:val="-13"/>
          <w:sz w:val="24"/>
        </w:rPr>
        <w:t xml:space="preserve">根據《房地產中介業務法》第 </w:t>
      </w:r>
      <w:r>
        <w:rPr>
          <w:rFonts w:ascii="Times New Roman" w:eastAsia="Times New Roman"/>
          <w:sz w:val="24"/>
        </w:rPr>
        <w:t xml:space="preserve">9 </w:t>
      </w:r>
      <w:r>
        <w:rPr>
          <w:spacing w:val="-1"/>
          <w:sz w:val="24"/>
        </w:rPr>
        <w:t xml:space="preserve">條第 </w:t>
      </w:r>
      <w:r>
        <w:rPr>
          <w:rFonts w:ascii="Times New Roman" w:eastAsia="Times New Roman"/>
          <w:sz w:val="24"/>
        </w:rPr>
        <w:t>1</w:t>
      </w:r>
      <w:r>
        <w:rPr>
          <w:rFonts w:ascii="Times New Roman" w:eastAsia="Times New Roman"/>
          <w:spacing w:val="-1"/>
          <w:sz w:val="24"/>
        </w:rPr>
        <w:t xml:space="preserve"> </w:t>
      </w:r>
      <w:r>
        <w:rPr>
          <w:sz w:val="24"/>
        </w:rPr>
        <w:t>款</w:t>
      </w:r>
      <w:r>
        <w:rPr>
          <w:rFonts w:ascii="Times New Roman" w:eastAsia="Times New Roman"/>
          <w:sz w:val="24"/>
        </w:rPr>
        <w:t>(3)</w:t>
      </w:r>
      <w:r>
        <w:rPr>
          <w:spacing w:val="-9"/>
          <w:sz w:val="24"/>
        </w:rPr>
        <w:t>項的規定，准照會被註銷。</w:t>
      </w:r>
    </w:p>
    <w:p>
      <w:pPr>
        <w:spacing w:after="0" w:line="285" w:lineRule="auto"/>
        <w:jc w:val="both"/>
        <w:rPr>
          <w:sz w:val="24"/>
        </w:rPr>
        <w:sectPr>
          <w:pgSz w:w="11910" w:h="16840"/>
          <w:pgMar w:top="1140" w:right="440" w:bottom="280" w:left="1540" w:header="720" w:footer="720" w:gutter="0"/>
        </w:sectPr>
      </w:pPr>
    </w:p>
    <w:p>
      <w:pPr>
        <w:pStyle w:val="7"/>
        <w:numPr>
          <w:ilvl w:val="0"/>
          <w:numId w:val="8"/>
        </w:numPr>
        <w:tabs>
          <w:tab w:val="left" w:pos="1439"/>
        </w:tabs>
        <w:spacing w:before="53" w:after="0" w:line="285" w:lineRule="auto"/>
        <w:ind w:left="1438" w:right="1257" w:hanging="425"/>
        <w:jc w:val="both"/>
        <w:rPr>
          <w:sz w:val="24"/>
        </w:rPr>
      </w:pPr>
      <w:r>
        <w:rPr>
          <w:spacing w:val="-1"/>
          <w:sz w:val="24"/>
        </w:rPr>
        <w:t>倘房地產中介人申請註銷准照後欲再從事業務，須重新辦理房地產中</w:t>
      </w:r>
      <w:r>
        <w:rPr>
          <w:sz w:val="24"/>
        </w:rPr>
        <w:t xml:space="preserve">介人准照之申請，並須符合經第 </w:t>
      </w:r>
      <w:r>
        <w:rPr>
          <w:rFonts w:ascii="Times New Roman" w:eastAsia="Times New Roman"/>
          <w:sz w:val="24"/>
        </w:rPr>
        <w:t>7/2014</w:t>
      </w:r>
      <w:r>
        <w:rPr>
          <w:rFonts w:ascii="Times New Roman" w:eastAsia="Times New Roman"/>
          <w:spacing w:val="5"/>
          <w:sz w:val="24"/>
        </w:rPr>
        <w:t xml:space="preserve"> </w:t>
      </w:r>
      <w:r>
        <w:rPr>
          <w:spacing w:val="-2"/>
          <w:sz w:val="24"/>
        </w:rPr>
        <w:t xml:space="preserve">號法律修改的第 </w:t>
      </w:r>
      <w:r>
        <w:rPr>
          <w:rFonts w:ascii="Times New Roman" w:eastAsia="Times New Roman"/>
          <w:sz w:val="24"/>
        </w:rPr>
        <w:t>16/2012</w:t>
      </w:r>
      <w:r>
        <w:rPr>
          <w:rFonts w:ascii="Times New Roman" w:eastAsia="Times New Roman"/>
          <w:spacing w:val="5"/>
          <w:sz w:val="24"/>
        </w:rPr>
        <w:t xml:space="preserve"> </w:t>
      </w:r>
      <w:r>
        <w:rPr>
          <w:spacing w:val="-10"/>
          <w:sz w:val="24"/>
        </w:rPr>
        <w:t>號法</w:t>
      </w:r>
      <w:r>
        <w:rPr>
          <w:spacing w:val="-1"/>
          <w:sz w:val="24"/>
        </w:rPr>
        <w:t xml:space="preserve">律《房地產中介業務法》第 </w:t>
      </w:r>
      <w:r>
        <w:rPr>
          <w:rFonts w:ascii="Times New Roman" w:eastAsia="Times New Roman"/>
          <w:sz w:val="24"/>
        </w:rPr>
        <w:t xml:space="preserve">5 </w:t>
      </w:r>
      <w:r>
        <w:rPr>
          <w:sz w:val="24"/>
        </w:rPr>
        <w:t>條</w:t>
      </w:r>
      <w:r>
        <w:rPr>
          <w:rFonts w:ascii="Times New Roman" w:eastAsia="Times New Roman"/>
          <w:sz w:val="24"/>
        </w:rPr>
        <w:t>(</w:t>
      </w:r>
      <w:r>
        <w:rPr>
          <w:sz w:val="24"/>
        </w:rPr>
        <w:t>從業要件</w:t>
      </w:r>
      <w:r>
        <w:rPr>
          <w:rFonts w:ascii="Times New Roman" w:eastAsia="Times New Roman"/>
          <w:sz w:val="24"/>
        </w:rPr>
        <w:t>)</w:t>
      </w:r>
      <w:r>
        <w:rPr>
          <w:sz w:val="24"/>
        </w:rPr>
        <w:t>之規定。</w:t>
      </w:r>
    </w:p>
    <w:p>
      <w:pPr>
        <w:pStyle w:val="7"/>
        <w:numPr>
          <w:ilvl w:val="1"/>
          <w:numId w:val="5"/>
        </w:numPr>
        <w:tabs>
          <w:tab w:val="left" w:pos="1014"/>
        </w:tabs>
        <w:spacing w:before="183" w:after="0" w:line="240" w:lineRule="auto"/>
        <w:ind w:left="1014" w:right="0" w:hanging="425"/>
        <w:jc w:val="left"/>
        <w:rPr>
          <w:sz w:val="24"/>
        </w:rPr>
      </w:pPr>
      <w:r>
        <w:rPr>
          <w:sz w:val="24"/>
        </w:rPr>
        <w:t>房地產經紀</w:t>
      </w:r>
    </w:p>
    <w:p>
      <w:pPr>
        <w:pStyle w:val="3"/>
        <w:spacing w:before="7"/>
        <w:rPr>
          <w:sz w:val="17"/>
        </w:rPr>
      </w:pPr>
    </w:p>
    <w:p>
      <w:pPr>
        <w:pStyle w:val="7"/>
        <w:numPr>
          <w:ilvl w:val="0"/>
          <w:numId w:val="9"/>
        </w:numPr>
        <w:tabs>
          <w:tab w:val="left" w:pos="1439"/>
        </w:tabs>
        <w:spacing w:before="0" w:after="0" w:line="285" w:lineRule="auto"/>
        <w:ind w:left="1438" w:right="1256" w:hanging="425"/>
        <w:jc w:val="both"/>
        <w:rPr>
          <w:sz w:val="24"/>
        </w:rPr>
      </w:pPr>
      <w:r>
        <w:rPr>
          <w:spacing w:val="-1"/>
          <w:sz w:val="24"/>
        </w:rPr>
        <w:t>倘房地產經紀會在一定期間內不從事業務，此情況下建議提出中止或</w:t>
      </w:r>
      <w:r>
        <w:rPr>
          <w:sz w:val="24"/>
        </w:rPr>
        <w:t>註銷房地產經紀准照之申請。否則，當房地產經紀在其准照有效期內</w:t>
      </w:r>
      <w:r>
        <w:rPr>
          <w:spacing w:val="1"/>
          <w:sz w:val="24"/>
        </w:rPr>
        <w:t xml:space="preserve">連續 </w:t>
      </w:r>
      <w:r>
        <w:rPr>
          <w:rFonts w:ascii="Times New Roman" w:eastAsia="Times New Roman"/>
          <w:sz w:val="24"/>
        </w:rPr>
        <w:t>180</w:t>
      </w:r>
      <w:r>
        <w:rPr>
          <w:rFonts w:ascii="Times New Roman" w:eastAsia="Times New Roman"/>
          <w:spacing w:val="7"/>
          <w:sz w:val="24"/>
        </w:rPr>
        <w:t xml:space="preserve"> </w:t>
      </w:r>
      <w:r>
        <w:rPr>
          <w:sz w:val="24"/>
        </w:rPr>
        <w:t xml:space="preserve">日或間斷 </w:t>
      </w:r>
      <w:r>
        <w:rPr>
          <w:rFonts w:ascii="Times New Roman" w:eastAsia="Times New Roman"/>
          <w:sz w:val="24"/>
        </w:rPr>
        <w:t>360</w:t>
      </w:r>
      <w:r>
        <w:rPr>
          <w:rFonts w:ascii="Times New Roman" w:eastAsia="Times New Roman"/>
          <w:spacing w:val="7"/>
          <w:sz w:val="24"/>
        </w:rPr>
        <w:t xml:space="preserve"> </w:t>
      </w:r>
      <w:r>
        <w:rPr>
          <w:spacing w:val="-1"/>
          <w:sz w:val="24"/>
        </w:rPr>
        <w:t>日未有從事業務會視為終止業務，此情況下將</w:t>
      </w:r>
      <w:r>
        <w:rPr>
          <w:sz w:val="24"/>
        </w:rPr>
        <w:t>會被註銷房地產經紀准照。倘房地產經紀有合理解釋及獲房屋局接納則不在此限。</w:t>
      </w:r>
    </w:p>
    <w:p>
      <w:pPr>
        <w:pStyle w:val="7"/>
        <w:numPr>
          <w:ilvl w:val="0"/>
          <w:numId w:val="9"/>
        </w:numPr>
        <w:tabs>
          <w:tab w:val="left" w:pos="1439"/>
        </w:tabs>
        <w:spacing w:before="183" w:after="0" w:line="285" w:lineRule="auto"/>
        <w:ind w:left="1438" w:right="1255" w:hanging="425"/>
        <w:jc w:val="both"/>
      </w:pPr>
      <w:r>
        <w:rPr>
          <w:sz w:val="24"/>
        </w:rPr>
        <w:t>倘房地產經紀申請中止准照，該中止期間不得在其准照有效期內連續</w:t>
      </w:r>
      <w:r>
        <w:rPr>
          <w:spacing w:val="-1"/>
          <w:sz w:val="24"/>
        </w:rPr>
        <w:t xml:space="preserve">或間斷超過 </w:t>
      </w:r>
      <w:r>
        <w:rPr>
          <w:rFonts w:ascii="Times New Roman" w:eastAsia="Times New Roman"/>
          <w:sz w:val="24"/>
        </w:rPr>
        <w:t xml:space="preserve">12 </w:t>
      </w:r>
      <w:r>
        <w:rPr>
          <w:spacing w:val="-16"/>
          <w:sz w:val="24"/>
        </w:rPr>
        <w:t xml:space="preserve">個月。根據經第 </w:t>
      </w:r>
      <w:r>
        <w:rPr>
          <w:rFonts w:ascii="Times New Roman" w:eastAsia="Times New Roman"/>
          <w:sz w:val="24"/>
        </w:rPr>
        <w:t xml:space="preserve">7/2014 </w:t>
      </w:r>
      <w:r>
        <w:rPr>
          <w:spacing w:val="-1"/>
          <w:sz w:val="24"/>
        </w:rPr>
        <w:t xml:space="preserve">號法律修改的第 </w:t>
      </w:r>
      <w:r>
        <w:rPr>
          <w:rFonts w:ascii="Times New Roman" w:eastAsia="Times New Roman"/>
          <w:sz w:val="24"/>
        </w:rPr>
        <w:t>16/2012</w:t>
      </w:r>
      <w:r>
        <w:rPr>
          <w:rFonts w:ascii="Times New Roman" w:eastAsia="Times New Roman"/>
          <w:spacing w:val="1"/>
          <w:sz w:val="24"/>
        </w:rPr>
        <w:t xml:space="preserve"> </w:t>
      </w:r>
      <w:r>
        <w:rPr>
          <w:spacing w:val="-5"/>
          <w:sz w:val="24"/>
        </w:rPr>
        <w:t>號法律</w:t>
      </w:r>
      <w:r>
        <w:t xml:space="preserve">《房地產中介業務法》第 </w:t>
      </w:r>
      <w:r>
        <w:rPr>
          <w:rFonts w:ascii="Times New Roman" w:eastAsia="Times New Roman"/>
        </w:rPr>
        <w:t xml:space="preserve">14 </w:t>
      </w:r>
      <w:r>
        <w:t>條</w:t>
      </w:r>
      <w:r>
        <w:rPr>
          <w:rFonts w:ascii="Times New Roman" w:eastAsia="Times New Roman"/>
        </w:rPr>
        <w:t>(</w:t>
      </w:r>
      <w:r>
        <w:t>取消中止</w:t>
      </w:r>
      <w:r>
        <w:rPr>
          <w:rFonts w:ascii="Times New Roman" w:eastAsia="Times New Roman"/>
        </w:rPr>
        <w:t>)</w:t>
      </w:r>
      <w:r>
        <w:rPr>
          <w:spacing w:val="2"/>
        </w:rPr>
        <w:t xml:space="preserve">及經第 </w:t>
      </w:r>
      <w:r>
        <w:rPr>
          <w:rFonts w:ascii="Times New Roman" w:eastAsia="Times New Roman"/>
        </w:rPr>
        <w:t xml:space="preserve">17/2014 </w:t>
      </w:r>
      <w:r>
        <w:t xml:space="preserve">號行政法規修改的第 </w:t>
      </w:r>
      <w:r>
        <w:rPr>
          <w:rFonts w:ascii="Times New Roman" w:eastAsia="Times New Roman"/>
        </w:rPr>
        <w:t xml:space="preserve">4/2013 </w:t>
      </w:r>
      <w:r>
        <w:t xml:space="preserve">號行政法規第 </w:t>
      </w:r>
      <w:r>
        <w:rPr>
          <w:rFonts w:ascii="Times New Roman" w:eastAsia="Times New Roman"/>
        </w:rPr>
        <w:t xml:space="preserve">8 </w:t>
      </w:r>
      <w:r>
        <w:rPr>
          <w:spacing w:val="1"/>
        </w:rPr>
        <w:t xml:space="preserve">條第 </w:t>
      </w:r>
      <w:r>
        <w:rPr>
          <w:rFonts w:ascii="Times New Roman" w:eastAsia="Times New Roman"/>
        </w:rPr>
        <w:t xml:space="preserve">2 </w:t>
      </w:r>
      <w:r>
        <w:t>款</w:t>
      </w:r>
      <w:r>
        <w:rPr>
          <w:rFonts w:ascii="Times New Roman" w:eastAsia="Times New Roman"/>
        </w:rPr>
        <w:t>(</w:t>
      </w:r>
      <w:r>
        <w:t>中止准照</w:t>
      </w:r>
      <w:r>
        <w:rPr>
          <w:rFonts w:ascii="Times New Roman" w:eastAsia="Times New Roman"/>
        </w:rPr>
        <w:t>)</w:t>
      </w:r>
      <w:r>
        <w:t>之規定，倘房地產經紀欲再從事業務，在中止期間屆滿前或屆滿時均可申請取消中止准照，但須符合從業要件。如中止准照的期限屆滿且未取消中止，根</w:t>
      </w:r>
      <w:r>
        <w:rPr>
          <w:spacing w:val="-9"/>
        </w:rPr>
        <w:t xml:space="preserve">據《房地產中介業務法》第 </w:t>
      </w:r>
      <w:r>
        <w:rPr>
          <w:rFonts w:ascii="Times New Roman" w:eastAsia="Times New Roman"/>
        </w:rPr>
        <w:t xml:space="preserve">15 </w:t>
      </w:r>
      <w:r>
        <w:t xml:space="preserve">條第 </w:t>
      </w:r>
      <w:r>
        <w:rPr>
          <w:rFonts w:ascii="Times New Roman" w:eastAsia="Times New Roman"/>
        </w:rPr>
        <w:t xml:space="preserve">1 </w:t>
      </w:r>
      <w:r>
        <w:t>款</w:t>
      </w:r>
      <w:r>
        <w:rPr>
          <w:rFonts w:ascii="Times New Roman" w:eastAsia="Times New Roman"/>
        </w:rPr>
        <w:t>(3)</w:t>
      </w:r>
      <w:r>
        <w:rPr>
          <w:spacing w:val="-7"/>
        </w:rPr>
        <w:t>項的規定，准照會被註銷。</w:t>
      </w:r>
    </w:p>
    <w:p>
      <w:pPr>
        <w:pStyle w:val="7"/>
        <w:numPr>
          <w:ilvl w:val="0"/>
          <w:numId w:val="9"/>
        </w:numPr>
        <w:tabs>
          <w:tab w:val="left" w:pos="1439"/>
        </w:tabs>
        <w:spacing w:before="182" w:after="0" w:line="285" w:lineRule="auto"/>
        <w:ind w:left="1438" w:right="1255" w:hanging="425"/>
        <w:jc w:val="both"/>
        <w:rPr>
          <w:sz w:val="24"/>
        </w:rPr>
      </w:pPr>
      <w:r>
        <w:rPr>
          <w:sz w:val="24"/>
        </w:rPr>
        <w:t>倘房地產經紀申請註銷准照後欲再從事業務，須重新辦理房地產經紀</w:t>
      </w:r>
      <w:r>
        <w:rPr>
          <w:spacing w:val="-12"/>
          <w:sz w:val="24"/>
        </w:rPr>
        <w:t xml:space="preserve">准照之申請，並須符合經第 </w:t>
      </w:r>
      <w:r>
        <w:rPr>
          <w:rFonts w:ascii="Times New Roman" w:eastAsia="Times New Roman"/>
          <w:sz w:val="24"/>
        </w:rPr>
        <w:t xml:space="preserve">7/2014 </w:t>
      </w:r>
      <w:r>
        <w:rPr>
          <w:spacing w:val="-1"/>
          <w:sz w:val="24"/>
        </w:rPr>
        <w:t xml:space="preserve">號法律修改的第 </w:t>
      </w:r>
      <w:r>
        <w:rPr>
          <w:rFonts w:ascii="Times New Roman" w:eastAsia="Times New Roman"/>
          <w:sz w:val="24"/>
        </w:rPr>
        <w:t>16/2012</w:t>
      </w:r>
      <w:r>
        <w:rPr>
          <w:rFonts w:ascii="Times New Roman" w:eastAsia="Times New Roman"/>
          <w:spacing w:val="1"/>
          <w:sz w:val="24"/>
        </w:rPr>
        <w:t xml:space="preserve"> </w:t>
      </w:r>
      <w:r>
        <w:rPr>
          <w:spacing w:val="-26"/>
          <w:sz w:val="24"/>
        </w:rPr>
        <w:t>號法律《房</w:t>
      </w:r>
      <w:r>
        <w:rPr>
          <w:spacing w:val="-1"/>
          <w:sz w:val="24"/>
        </w:rPr>
        <w:t xml:space="preserve">地產中介業務法》第 </w:t>
      </w:r>
      <w:r>
        <w:rPr>
          <w:rFonts w:ascii="Times New Roman" w:eastAsia="Times New Roman"/>
          <w:sz w:val="24"/>
        </w:rPr>
        <w:t xml:space="preserve">12 </w:t>
      </w:r>
      <w:r>
        <w:rPr>
          <w:sz w:val="24"/>
        </w:rPr>
        <w:t>條</w:t>
      </w:r>
      <w:r>
        <w:rPr>
          <w:rFonts w:ascii="Times New Roman" w:eastAsia="Times New Roman"/>
          <w:sz w:val="24"/>
        </w:rPr>
        <w:t>(</w:t>
      </w:r>
      <w:r>
        <w:rPr>
          <w:sz w:val="24"/>
        </w:rPr>
        <w:t>從業要件</w:t>
      </w:r>
      <w:r>
        <w:rPr>
          <w:rFonts w:ascii="Times New Roman" w:eastAsia="Times New Roman"/>
          <w:sz w:val="24"/>
        </w:rPr>
        <w:t>)</w:t>
      </w:r>
      <w:r>
        <w:rPr>
          <w:sz w:val="24"/>
        </w:rPr>
        <w:t>之規定。</w:t>
      </w:r>
    </w:p>
    <w:p>
      <w:pPr>
        <w:spacing w:before="216" w:after="18" w:line="242" w:lineRule="auto"/>
        <w:ind w:left="162" w:right="8080" w:firstLine="0"/>
        <w:jc w:val="left"/>
        <w:rPr>
          <w:sz w:val="24"/>
        </w:rPr>
      </w:pPr>
      <w:r>
        <w:rPr>
          <w:rFonts w:hint="eastAsia" w:ascii="Microsoft JhengHei" w:eastAsia="Microsoft JhengHei"/>
          <w:b/>
          <w:sz w:val="24"/>
        </w:rPr>
        <w:t>違法行為與處罰</w:t>
      </w:r>
      <w:r>
        <w:rPr>
          <w:sz w:val="24"/>
        </w:rPr>
        <w:t>參照表：</w:t>
      </w:r>
    </w:p>
    <w:tbl>
      <w:tblPr>
        <w:tblStyle w:val="4"/>
        <w:tblW w:w="0" w:type="auto"/>
        <w:tblInd w:w="126" w:type="dxa"/>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Layout w:type="fixed"/>
        <w:tblCellMar>
          <w:top w:w="0" w:type="dxa"/>
          <w:left w:w="0" w:type="dxa"/>
          <w:bottom w:w="0" w:type="dxa"/>
          <w:right w:w="0" w:type="dxa"/>
        </w:tblCellMar>
      </w:tblPr>
      <w:tblGrid>
        <w:gridCol w:w="4580"/>
        <w:gridCol w:w="5104"/>
      </w:tblGrid>
      <w:tr>
        <w:tblPrEx>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CellMar>
            <w:top w:w="0" w:type="dxa"/>
            <w:left w:w="0" w:type="dxa"/>
            <w:bottom w:w="0" w:type="dxa"/>
            <w:right w:w="0" w:type="dxa"/>
          </w:tblCellMar>
        </w:tblPrEx>
        <w:trPr>
          <w:trHeight w:val="388" w:hRule="atLeast"/>
        </w:trPr>
        <w:tc>
          <w:tcPr>
            <w:tcW w:w="4580" w:type="dxa"/>
            <w:tcBorders>
              <w:left w:val="single" w:color="EBE9D7" w:sz="6" w:space="0"/>
            </w:tcBorders>
          </w:tcPr>
          <w:p>
            <w:pPr>
              <w:pStyle w:val="8"/>
              <w:spacing w:line="368" w:lineRule="exact"/>
              <w:ind w:left="1791" w:right="1758"/>
              <w:rPr>
                <w:rFonts w:hint="eastAsia" w:ascii="Microsoft JhengHei" w:eastAsia="Microsoft JhengHei"/>
                <w:b/>
                <w:sz w:val="24"/>
              </w:rPr>
            </w:pPr>
            <w:r>
              <w:rPr>
                <w:rFonts w:hint="eastAsia" w:ascii="Microsoft JhengHei" w:eastAsia="Microsoft JhengHei"/>
                <w:b/>
                <w:sz w:val="24"/>
              </w:rPr>
              <w:t>違規行為</w:t>
            </w:r>
          </w:p>
        </w:tc>
        <w:tc>
          <w:tcPr>
            <w:tcW w:w="5104" w:type="dxa"/>
            <w:tcBorders>
              <w:right w:val="single" w:color="ACA899" w:sz="6" w:space="0"/>
            </w:tcBorders>
          </w:tcPr>
          <w:p>
            <w:pPr>
              <w:pStyle w:val="8"/>
              <w:spacing w:line="368" w:lineRule="exact"/>
              <w:ind w:left="1691"/>
              <w:jc w:val="left"/>
              <w:rPr>
                <w:rFonts w:hint="eastAsia" w:ascii="Microsoft JhengHei" w:eastAsia="Microsoft JhengHei"/>
                <w:b/>
                <w:sz w:val="24"/>
              </w:rPr>
            </w:pPr>
            <w:r>
              <w:rPr>
                <w:rFonts w:hint="eastAsia" w:ascii="Microsoft JhengHei" w:eastAsia="Microsoft JhengHei"/>
                <w:b/>
                <w:sz w:val="24"/>
              </w:rPr>
              <w:t>罰款及附加處罰</w:t>
            </w:r>
          </w:p>
        </w:tc>
      </w:tr>
      <w:tr>
        <w:tblPrEx>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CellMar>
            <w:top w:w="0" w:type="dxa"/>
            <w:left w:w="0" w:type="dxa"/>
            <w:bottom w:w="0" w:type="dxa"/>
            <w:right w:w="0" w:type="dxa"/>
          </w:tblCellMar>
        </w:tblPrEx>
        <w:trPr>
          <w:trHeight w:val="2190" w:hRule="atLeast"/>
        </w:trPr>
        <w:tc>
          <w:tcPr>
            <w:tcW w:w="4580" w:type="dxa"/>
            <w:tcBorders>
              <w:left w:val="single" w:color="EBE9D7" w:sz="6" w:space="0"/>
            </w:tcBorders>
          </w:tcPr>
          <w:p>
            <w:pPr>
              <w:pStyle w:val="8"/>
              <w:jc w:val="left"/>
              <w:rPr>
                <w:sz w:val="24"/>
              </w:rPr>
            </w:pPr>
          </w:p>
          <w:p>
            <w:pPr>
              <w:pStyle w:val="8"/>
              <w:spacing w:before="7"/>
              <w:jc w:val="left"/>
              <w:rPr>
                <w:sz w:val="29"/>
              </w:rPr>
            </w:pPr>
          </w:p>
          <w:p>
            <w:pPr>
              <w:pStyle w:val="8"/>
              <w:spacing w:line="256" w:lineRule="auto"/>
              <w:ind w:left="42" w:right="185"/>
              <w:jc w:val="left"/>
              <w:rPr>
                <w:sz w:val="24"/>
              </w:rPr>
            </w:pPr>
            <w:r>
              <w:rPr>
                <w:sz w:val="24"/>
              </w:rPr>
              <w:t>未持有有效准照而以房地產中介人身份從事房地產中介業務者</w:t>
            </w:r>
          </w:p>
        </w:tc>
        <w:tc>
          <w:tcPr>
            <w:tcW w:w="5104" w:type="dxa"/>
            <w:tcBorders>
              <w:right w:val="single" w:color="ACA899" w:sz="6" w:space="0"/>
            </w:tcBorders>
          </w:tcPr>
          <w:p>
            <w:pPr>
              <w:pStyle w:val="8"/>
              <w:spacing w:before="28"/>
              <w:ind w:left="1100" w:right="1109"/>
              <w:rPr>
                <w:sz w:val="24"/>
              </w:rPr>
            </w:pPr>
            <w:r>
              <w:rPr>
                <w:sz w:val="24"/>
              </w:rPr>
              <w:t>罰款：</w:t>
            </w:r>
          </w:p>
          <w:p>
            <w:pPr>
              <w:pStyle w:val="8"/>
              <w:spacing w:before="30" w:line="256" w:lineRule="auto"/>
              <w:ind w:left="1103" w:right="1109"/>
              <w:rPr>
                <w:sz w:val="24"/>
              </w:rPr>
            </w:pPr>
            <w:r>
              <w:rPr>
                <w:spacing w:val="-1"/>
                <w:sz w:val="24"/>
              </w:rPr>
              <w:t xml:space="preserve">科澳門幣 </w:t>
            </w:r>
            <w:r>
              <w:rPr>
                <w:rFonts w:ascii="Verdana" w:eastAsia="Verdana"/>
                <w:sz w:val="24"/>
              </w:rPr>
              <w:t>5</w:t>
            </w:r>
            <w:r>
              <w:rPr>
                <w:rFonts w:ascii="Verdana" w:eastAsia="Verdana"/>
                <w:spacing w:val="-24"/>
                <w:sz w:val="24"/>
              </w:rPr>
              <w:t xml:space="preserve"> </w:t>
            </w:r>
            <w:r>
              <w:rPr>
                <w:spacing w:val="-1"/>
                <w:sz w:val="24"/>
              </w:rPr>
              <w:t xml:space="preserve">萬元至 </w:t>
            </w:r>
            <w:r>
              <w:rPr>
                <w:rFonts w:ascii="Verdana" w:eastAsia="Verdana"/>
                <w:sz w:val="24"/>
              </w:rPr>
              <w:t>30</w:t>
            </w:r>
            <w:r>
              <w:rPr>
                <w:rFonts w:ascii="Verdana" w:eastAsia="Verdana"/>
                <w:spacing w:val="-26"/>
                <w:sz w:val="24"/>
              </w:rPr>
              <w:t xml:space="preserve"> </w:t>
            </w:r>
            <w:r>
              <w:rPr>
                <w:spacing w:val="-8"/>
                <w:sz w:val="24"/>
              </w:rPr>
              <w:t>萬元</w:t>
            </w:r>
            <w:r>
              <w:rPr>
                <w:sz w:val="24"/>
              </w:rPr>
              <w:t>或</w:t>
            </w:r>
            <w:r>
              <w:rPr>
                <w:rFonts w:ascii="Verdana" w:eastAsia="Verdana"/>
                <w:sz w:val="24"/>
              </w:rPr>
              <w:t>/</w:t>
            </w:r>
            <w:r>
              <w:rPr>
                <w:sz w:val="24"/>
              </w:rPr>
              <w:t>及</w:t>
            </w:r>
          </w:p>
          <w:p>
            <w:pPr>
              <w:pStyle w:val="8"/>
              <w:spacing w:line="329" w:lineRule="exact"/>
              <w:ind w:left="1100" w:right="1109"/>
              <w:rPr>
                <w:sz w:val="24"/>
              </w:rPr>
            </w:pPr>
            <w:r>
              <w:rPr>
                <w:sz w:val="24"/>
              </w:rPr>
              <w:t>附加處罰：</w:t>
            </w:r>
          </w:p>
          <w:p>
            <w:pPr>
              <w:pStyle w:val="8"/>
              <w:spacing w:before="31"/>
              <w:ind w:left="112" w:right="118"/>
              <w:rPr>
                <w:sz w:val="24"/>
              </w:rPr>
            </w:pPr>
            <w:r>
              <w:rPr>
                <w:sz w:val="24"/>
              </w:rPr>
              <w:t xml:space="preserve">關閉商業營業場所 </w:t>
            </w:r>
            <w:r>
              <w:rPr>
                <w:rFonts w:ascii="Verdana" w:eastAsia="Verdana"/>
                <w:sz w:val="24"/>
              </w:rPr>
              <w:t xml:space="preserve">1 </w:t>
            </w:r>
            <w:r>
              <w:rPr>
                <w:sz w:val="24"/>
              </w:rPr>
              <w:t xml:space="preserve">個月至 </w:t>
            </w:r>
            <w:r>
              <w:rPr>
                <w:rFonts w:ascii="Verdana" w:eastAsia="Verdana"/>
                <w:sz w:val="24"/>
              </w:rPr>
              <w:t xml:space="preserve">1 </w:t>
            </w:r>
            <w:r>
              <w:rPr>
                <w:sz w:val="24"/>
              </w:rPr>
              <w:t>年，或</w:t>
            </w:r>
            <w:r>
              <w:rPr>
                <w:rFonts w:ascii="Verdana" w:eastAsia="Verdana"/>
                <w:sz w:val="24"/>
              </w:rPr>
              <w:t>/</w:t>
            </w:r>
            <w:r>
              <w:rPr>
                <w:sz w:val="24"/>
              </w:rPr>
              <w:t>及</w:t>
            </w:r>
          </w:p>
          <w:p>
            <w:pPr>
              <w:pStyle w:val="8"/>
              <w:spacing w:before="23" w:line="336" w:lineRule="exact"/>
              <w:ind w:left="112" w:right="116"/>
              <w:rPr>
                <w:sz w:val="24"/>
              </w:rPr>
            </w:pPr>
            <w:r>
              <w:rPr>
                <w:sz w:val="24"/>
              </w:rPr>
              <w:t xml:space="preserve">禁止從事房地產中介業務 </w:t>
            </w:r>
            <w:r>
              <w:rPr>
                <w:rFonts w:ascii="Verdana" w:eastAsia="Verdana"/>
                <w:sz w:val="24"/>
              </w:rPr>
              <w:t xml:space="preserve">1 </w:t>
            </w:r>
            <w:r>
              <w:rPr>
                <w:sz w:val="24"/>
              </w:rPr>
              <w:t xml:space="preserve">個月至 </w:t>
            </w:r>
            <w:r>
              <w:rPr>
                <w:rFonts w:ascii="Verdana" w:eastAsia="Verdana"/>
                <w:sz w:val="24"/>
              </w:rPr>
              <w:t xml:space="preserve">1 </w:t>
            </w:r>
            <w:r>
              <w:rPr>
                <w:sz w:val="24"/>
              </w:rPr>
              <w:t>年</w:t>
            </w:r>
          </w:p>
        </w:tc>
      </w:tr>
      <w:tr>
        <w:tblPrEx>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CellMar>
            <w:top w:w="0" w:type="dxa"/>
            <w:left w:w="0" w:type="dxa"/>
            <w:bottom w:w="0" w:type="dxa"/>
            <w:right w:w="0" w:type="dxa"/>
          </w:tblCellMar>
        </w:tblPrEx>
        <w:trPr>
          <w:trHeight w:val="1829" w:hRule="atLeast"/>
        </w:trPr>
        <w:tc>
          <w:tcPr>
            <w:tcW w:w="4580" w:type="dxa"/>
            <w:tcBorders>
              <w:left w:val="single" w:color="EBE9D7" w:sz="6" w:space="0"/>
            </w:tcBorders>
          </w:tcPr>
          <w:p>
            <w:pPr>
              <w:pStyle w:val="8"/>
              <w:jc w:val="left"/>
              <w:rPr>
                <w:sz w:val="24"/>
              </w:rPr>
            </w:pPr>
          </w:p>
          <w:p>
            <w:pPr>
              <w:pStyle w:val="8"/>
              <w:spacing w:before="6"/>
              <w:jc w:val="left"/>
              <w:rPr>
                <w:sz w:val="16"/>
              </w:rPr>
            </w:pPr>
          </w:p>
          <w:p>
            <w:pPr>
              <w:pStyle w:val="8"/>
              <w:spacing w:line="256" w:lineRule="auto"/>
              <w:ind w:left="42" w:right="185"/>
              <w:jc w:val="left"/>
              <w:rPr>
                <w:sz w:val="24"/>
              </w:rPr>
            </w:pPr>
            <w:r>
              <w:rPr>
                <w:sz w:val="24"/>
              </w:rPr>
              <w:t>未持有有效准照而以房地產經紀身份從事房地產中介業務者</w:t>
            </w:r>
          </w:p>
        </w:tc>
        <w:tc>
          <w:tcPr>
            <w:tcW w:w="5104" w:type="dxa"/>
            <w:tcBorders>
              <w:right w:val="single" w:color="ACA899" w:sz="6" w:space="0"/>
            </w:tcBorders>
          </w:tcPr>
          <w:p>
            <w:pPr>
              <w:pStyle w:val="8"/>
              <w:spacing w:before="25"/>
              <w:ind w:left="1100" w:right="1109"/>
              <w:rPr>
                <w:sz w:val="24"/>
              </w:rPr>
            </w:pPr>
            <w:r>
              <w:rPr>
                <w:sz w:val="24"/>
              </w:rPr>
              <w:t>罰款：</w:t>
            </w:r>
          </w:p>
          <w:p>
            <w:pPr>
              <w:pStyle w:val="8"/>
              <w:spacing w:before="30" w:line="256" w:lineRule="auto"/>
              <w:ind w:left="1103" w:right="1109"/>
              <w:rPr>
                <w:sz w:val="24"/>
              </w:rPr>
            </w:pPr>
            <w:r>
              <w:rPr>
                <w:spacing w:val="-1"/>
                <w:sz w:val="24"/>
              </w:rPr>
              <w:t xml:space="preserve">科澳門幣 </w:t>
            </w:r>
            <w:r>
              <w:rPr>
                <w:rFonts w:ascii="Verdana" w:eastAsia="Verdana"/>
                <w:sz w:val="24"/>
              </w:rPr>
              <w:t>2</w:t>
            </w:r>
            <w:r>
              <w:rPr>
                <w:rFonts w:ascii="Verdana" w:eastAsia="Verdana"/>
                <w:spacing w:val="-24"/>
                <w:sz w:val="24"/>
              </w:rPr>
              <w:t xml:space="preserve"> </w:t>
            </w:r>
            <w:r>
              <w:rPr>
                <w:spacing w:val="-1"/>
                <w:sz w:val="24"/>
              </w:rPr>
              <w:t xml:space="preserve">萬元至 </w:t>
            </w:r>
            <w:r>
              <w:rPr>
                <w:rFonts w:ascii="Verdana" w:eastAsia="Verdana"/>
                <w:sz w:val="24"/>
              </w:rPr>
              <w:t>10</w:t>
            </w:r>
            <w:r>
              <w:rPr>
                <w:rFonts w:ascii="Verdana" w:eastAsia="Verdana"/>
                <w:spacing w:val="-26"/>
                <w:sz w:val="24"/>
              </w:rPr>
              <w:t xml:space="preserve"> </w:t>
            </w:r>
            <w:r>
              <w:rPr>
                <w:spacing w:val="-8"/>
                <w:sz w:val="24"/>
              </w:rPr>
              <w:t>萬元</w:t>
            </w:r>
            <w:r>
              <w:rPr>
                <w:sz w:val="24"/>
              </w:rPr>
              <w:t>或</w:t>
            </w:r>
            <w:r>
              <w:rPr>
                <w:rFonts w:ascii="Verdana" w:eastAsia="Verdana"/>
                <w:sz w:val="24"/>
              </w:rPr>
              <w:t>/</w:t>
            </w:r>
            <w:r>
              <w:rPr>
                <w:sz w:val="24"/>
              </w:rPr>
              <w:t>及</w:t>
            </w:r>
          </w:p>
          <w:p>
            <w:pPr>
              <w:pStyle w:val="8"/>
              <w:spacing w:line="329" w:lineRule="exact"/>
              <w:ind w:left="1100" w:right="1109"/>
              <w:rPr>
                <w:sz w:val="24"/>
              </w:rPr>
            </w:pPr>
            <w:r>
              <w:rPr>
                <w:sz w:val="24"/>
              </w:rPr>
              <w:t>附加處罰：</w:t>
            </w:r>
          </w:p>
          <w:p>
            <w:pPr>
              <w:pStyle w:val="8"/>
              <w:spacing w:before="31"/>
              <w:ind w:left="112" w:right="116"/>
              <w:rPr>
                <w:sz w:val="24"/>
              </w:rPr>
            </w:pPr>
            <w:r>
              <w:rPr>
                <w:sz w:val="24"/>
              </w:rPr>
              <w:t xml:space="preserve">禁止從事房地產中介業務 </w:t>
            </w:r>
            <w:r>
              <w:rPr>
                <w:rFonts w:ascii="Verdana" w:eastAsia="Verdana"/>
                <w:sz w:val="24"/>
              </w:rPr>
              <w:t xml:space="preserve">1 </w:t>
            </w:r>
            <w:r>
              <w:rPr>
                <w:sz w:val="24"/>
              </w:rPr>
              <w:t xml:space="preserve">個月至 </w:t>
            </w:r>
            <w:r>
              <w:rPr>
                <w:rFonts w:ascii="Verdana" w:eastAsia="Verdana"/>
                <w:sz w:val="24"/>
              </w:rPr>
              <w:t xml:space="preserve">1 </w:t>
            </w:r>
            <w:r>
              <w:rPr>
                <w:sz w:val="24"/>
              </w:rPr>
              <w:t>年</w:t>
            </w:r>
          </w:p>
        </w:tc>
      </w:tr>
      <w:tr>
        <w:tblPrEx>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CellMar>
            <w:top w:w="0" w:type="dxa"/>
            <w:left w:w="0" w:type="dxa"/>
            <w:bottom w:w="0" w:type="dxa"/>
            <w:right w:w="0" w:type="dxa"/>
          </w:tblCellMar>
        </w:tblPrEx>
        <w:trPr>
          <w:trHeight w:val="744" w:hRule="atLeast"/>
        </w:trPr>
        <w:tc>
          <w:tcPr>
            <w:tcW w:w="4580" w:type="dxa"/>
            <w:tcBorders>
              <w:left w:val="single" w:color="EBE9D7" w:sz="6" w:space="0"/>
            </w:tcBorders>
          </w:tcPr>
          <w:p>
            <w:pPr>
              <w:pStyle w:val="8"/>
              <w:spacing w:before="1" w:line="360" w:lineRule="atLeast"/>
              <w:ind w:left="42" w:right="185"/>
              <w:jc w:val="left"/>
              <w:rPr>
                <w:sz w:val="24"/>
              </w:rPr>
            </w:pPr>
            <w:r>
              <w:rPr>
                <w:sz w:val="24"/>
              </w:rPr>
              <w:t>房地產中介人僱用沒有持有有效房地產經紀准照的人員從事房地產中介業務</w:t>
            </w:r>
          </w:p>
        </w:tc>
        <w:tc>
          <w:tcPr>
            <w:tcW w:w="5104" w:type="dxa"/>
            <w:tcBorders>
              <w:right w:val="single" w:color="ACA899" w:sz="6" w:space="0"/>
            </w:tcBorders>
          </w:tcPr>
          <w:p>
            <w:pPr>
              <w:pStyle w:val="8"/>
              <w:spacing w:before="25"/>
              <w:ind w:left="1100" w:right="1109"/>
              <w:rPr>
                <w:sz w:val="24"/>
              </w:rPr>
            </w:pPr>
            <w:r>
              <w:rPr>
                <w:sz w:val="24"/>
              </w:rPr>
              <w:t>罰款：</w:t>
            </w:r>
          </w:p>
          <w:p>
            <w:pPr>
              <w:pStyle w:val="8"/>
              <w:spacing w:before="25"/>
              <w:ind w:left="112" w:right="121"/>
              <w:rPr>
                <w:sz w:val="24"/>
              </w:rPr>
            </w:pPr>
            <w:r>
              <w:rPr>
                <w:sz w:val="24"/>
              </w:rPr>
              <w:t>按其所僱用的每一未持有有效房地產經紀准照</w:t>
            </w:r>
          </w:p>
        </w:tc>
      </w:tr>
    </w:tbl>
    <w:p>
      <w:pPr>
        <w:spacing w:after="0"/>
        <w:rPr>
          <w:sz w:val="24"/>
        </w:rPr>
        <w:sectPr>
          <w:pgSz w:w="11910" w:h="16840"/>
          <w:pgMar w:top="1140" w:right="440" w:bottom="280" w:left="1540" w:header="720" w:footer="720" w:gutter="0"/>
        </w:sectPr>
      </w:pPr>
    </w:p>
    <w:tbl>
      <w:tblPr>
        <w:tblStyle w:val="4"/>
        <w:tblW w:w="0" w:type="auto"/>
        <w:tblInd w:w="126" w:type="dxa"/>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Layout w:type="fixed"/>
        <w:tblCellMar>
          <w:top w:w="0" w:type="dxa"/>
          <w:left w:w="0" w:type="dxa"/>
          <w:bottom w:w="0" w:type="dxa"/>
          <w:right w:w="0" w:type="dxa"/>
        </w:tblCellMar>
      </w:tblPr>
      <w:tblGrid>
        <w:gridCol w:w="4580"/>
        <w:gridCol w:w="5104"/>
      </w:tblGrid>
      <w:tr>
        <w:tblPrEx>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CellMar>
            <w:top w:w="0" w:type="dxa"/>
            <w:left w:w="0" w:type="dxa"/>
            <w:bottom w:w="0" w:type="dxa"/>
            <w:right w:w="0" w:type="dxa"/>
          </w:tblCellMar>
        </w:tblPrEx>
        <w:trPr>
          <w:trHeight w:val="1827" w:hRule="atLeast"/>
        </w:trPr>
        <w:tc>
          <w:tcPr>
            <w:tcW w:w="4580" w:type="dxa"/>
            <w:tcBorders>
              <w:left w:val="single" w:color="EBE9D7" w:sz="6" w:space="0"/>
            </w:tcBorders>
          </w:tcPr>
          <w:p>
            <w:pPr>
              <w:pStyle w:val="8"/>
              <w:jc w:val="left"/>
              <w:rPr>
                <w:rFonts w:ascii="Times New Roman"/>
                <w:sz w:val="24"/>
              </w:rPr>
            </w:pPr>
          </w:p>
        </w:tc>
        <w:tc>
          <w:tcPr>
            <w:tcW w:w="5104" w:type="dxa"/>
            <w:tcBorders>
              <w:right w:val="single" w:color="ACA899" w:sz="6" w:space="0"/>
            </w:tcBorders>
          </w:tcPr>
          <w:p>
            <w:pPr>
              <w:pStyle w:val="8"/>
              <w:spacing w:before="29" w:line="256" w:lineRule="auto"/>
              <w:ind w:left="708" w:right="717"/>
              <w:rPr>
                <w:sz w:val="24"/>
              </w:rPr>
            </w:pPr>
            <w:r>
              <w:rPr>
                <w:sz w:val="24"/>
              </w:rPr>
              <w:t xml:space="preserve">的人，科澳門幣 </w:t>
            </w:r>
            <w:r>
              <w:rPr>
                <w:rFonts w:ascii="Verdana" w:eastAsia="Verdana"/>
                <w:sz w:val="24"/>
              </w:rPr>
              <w:t xml:space="preserve">3 </w:t>
            </w:r>
            <w:r>
              <w:rPr>
                <w:sz w:val="24"/>
              </w:rPr>
              <w:t xml:space="preserve">萬元至 </w:t>
            </w:r>
            <w:r>
              <w:rPr>
                <w:rFonts w:ascii="Verdana" w:eastAsia="Verdana"/>
                <w:sz w:val="24"/>
              </w:rPr>
              <w:t xml:space="preserve">15 </w:t>
            </w:r>
            <w:r>
              <w:rPr>
                <w:sz w:val="24"/>
              </w:rPr>
              <w:t>萬元或</w:t>
            </w:r>
            <w:r>
              <w:rPr>
                <w:rFonts w:ascii="Verdana" w:eastAsia="Verdana"/>
                <w:sz w:val="24"/>
              </w:rPr>
              <w:t>/</w:t>
            </w:r>
            <w:r>
              <w:rPr>
                <w:sz w:val="24"/>
              </w:rPr>
              <w:t>及</w:t>
            </w:r>
          </w:p>
          <w:p>
            <w:pPr>
              <w:pStyle w:val="8"/>
              <w:spacing w:line="329" w:lineRule="exact"/>
              <w:ind w:left="1100" w:right="1109"/>
              <w:rPr>
                <w:sz w:val="24"/>
              </w:rPr>
            </w:pPr>
            <w:r>
              <w:rPr>
                <w:sz w:val="24"/>
              </w:rPr>
              <w:t>附加處罰：</w:t>
            </w:r>
          </w:p>
          <w:p>
            <w:pPr>
              <w:pStyle w:val="8"/>
              <w:spacing w:before="30"/>
              <w:ind w:left="112" w:right="118"/>
              <w:rPr>
                <w:sz w:val="24"/>
              </w:rPr>
            </w:pPr>
            <w:r>
              <w:rPr>
                <w:sz w:val="24"/>
              </w:rPr>
              <w:t xml:space="preserve">關閉商業營業場所 </w:t>
            </w:r>
            <w:r>
              <w:rPr>
                <w:rFonts w:ascii="Verdana" w:eastAsia="Verdana"/>
                <w:sz w:val="24"/>
              </w:rPr>
              <w:t xml:space="preserve">1 </w:t>
            </w:r>
            <w:r>
              <w:rPr>
                <w:sz w:val="24"/>
              </w:rPr>
              <w:t xml:space="preserve">個月至 </w:t>
            </w:r>
            <w:r>
              <w:rPr>
                <w:rFonts w:ascii="Verdana" w:eastAsia="Verdana"/>
                <w:sz w:val="24"/>
              </w:rPr>
              <w:t xml:space="preserve">1 </w:t>
            </w:r>
            <w:r>
              <w:rPr>
                <w:sz w:val="24"/>
              </w:rPr>
              <w:t>年，或</w:t>
            </w:r>
            <w:r>
              <w:rPr>
                <w:rFonts w:ascii="Verdana" w:eastAsia="Verdana"/>
                <w:sz w:val="24"/>
              </w:rPr>
              <w:t>/</w:t>
            </w:r>
            <w:r>
              <w:rPr>
                <w:sz w:val="24"/>
              </w:rPr>
              <w:t>及</w:t>
            </w:r>
          </w:p>
          <w:p>
            <w:pPr>
              <w:pStyle w:val="8"/>
              <w:spacing w:before="23"/>
              <w:ind w:left="31" w:right="121"/>
              <w:rPr>
                <w:sz w:val="24"/>
              </w:rPr>
            </w:pPr>
            <w:r>
              <w:rPr>
                <w:sz w:val="24"/>
              </w:rPr>
              <w:t xml:space="preserve">禁止從事房地產中介業務 </w:t>
            </w:r>
            <w:r>
              <w:rPr>
                <w:rFonts w:ascii="Verdana" w:eastAsia="Verdana"/>
                <w:sz w:val="24"/>
              </w:rPr>
              <w:t xml:space="preserve">1 </w:t>
            </w:r>
            <w:r>
              <w:rPr>
                <w:sz w:val="24"/>
              </w:rPr>
              <w:t xml:space="preserve">個月至 </w:t>
            </w:r>
            <w:r>
              <w:rPr>
                <w:rFonts w:ascii="Verdana" w:eastAsia="Verdana"/>
                <w:sz w:val="24"/>
              </w:rPr>
              <w:t xml:space="preserve">1 </w:t>
            </w:r>
            <w:r>
              <w:rPr>
                <w:sz w:val="24"/>
              </w:rPr>
              <w:t>年</w:t>
            </w:r>
          </w:p>
        </w:tc>
      </w:tr>
      <w:tr>
        <w:tblPrEx>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CellMar>
            <w:top w:w="0" w:type="dxa"/>
            <w:left w:w="0" w:type="dxa"/>
            <w:bottom w:w="0" w:type="dxa"/>
            <w:right w:w="0" w:type="dxa"/>
          </w:tblCellMar>
        </w:tblPrEx>
        <w:trPr>
          <w:trHeight w:val="7587" w:hRule="atLeast"/>
        </w:trPr>
        <w:tc>
          <w:tcPr>
            <w:tcW w:w="4580" w:type="dxa"/>
            <w:tcBorders>
              <w:left w:val="single" w:color="EBE9D7" w:sz="6" w:space="0"/>
            </w:tcBorders>
          </w:tcPr>
          <w:p>
            <w:pPr>
              <w:pStyle w:val="8"/>
              <w:numPr>
                <w:ilvl w:val="0"/>
                <w:numId w:val="10"/>
              </w:numPr>
              <w:tabs>
                <w:tab w:val="left" w:pos="406"/>
              </w:tabs>
              <w:spacing w:before="31" w:after="0" w:line="256" w:lineRule="auto"/>
              <w:ind w:left="42" w:right="7" w:firstLine="0"/>
              <w:jc w:val="both"/>
              <w:rPr>
                <w:sz w:val="24"/>
              </w:rPr>
            </w:pPr>
            <w:r>
              <w:rPr>
                <w:sz w:val="24"/>
              </w:rPr>
              <w:t>商業營業場所非設於作商業、服務、寫</w:t>
            </w:r>
            <w:r>
              <w:rPr>
                <w:spacing w:val="-5"/>
                <w:sz w:val="24"/>
              </w:rPr>
              <w:t>字樓或從事自由職業用途的不動產內，但屬</w:t>
            </w:r>
            <w:r>
              <w:rPr>
                <w:spacing w:val="-2"/>
                <w:sz w:val="24"/>
              </w:rPr>
              <w:t xml:space="preserve">第 </w:t>
            </w:r>
            <w:r>
              <w:rPr>
                <w:rFonts w:ascii="Verdana" w:eastAsia="Verdana"/>
                <w:sz w:val="24"/>
              </w:rPr>
              <w:t>41</w:t>
            </w:r>
            <w:r>
              <w:rPr>
                <w:rFonts w:ascii="Verdana" w:eastAsia="Verdana"/>
                <w:spacing w:val="-24"/>
                <w:sz w:val="24"/>
              </w:rPr>
              <w:t xml:space="preserve"> </w:t>
            </w:r>
            <w:r>
              <w:rPr>
                <w:spacing w:val="-1"/>
                <w:sz w:val="24"/>
              </w:rPr>
              <w:t xml:space="preserve">條第 </w:t>
            </w:r>
            <w:r>
              <w:rPr>
                <w:rFonts w:ascii="Verdana" w:eastAsia="Verdana"/>
                <w:sz w:val="24"/>
              </w:rPr>
              <w:t>9</w:t>
            </w:r>
            <w:r>
              <w:rPr>
                <w:rFonts w:ascii="Verdana" w:eastAsia="Verdana"/>
                <w:spacing w:val="-24"/>
                <w:sz w:val="24"/>
              </w:rPr>
              <w:t xml:space="preserve"> </w:t>
            </w:r>
            <w:r>
              <w:rPr>
                <w:spacing w:val="-1"/>
                <w:sz w:val="24"/>
              </w:rPr>
              <w:t>款所指之情況除外；</w:t>
            </w:r>
          </w:p>
          <w:p>
            <w:pPr>
              <w:pStyle w:val="8"/>
              <w:numPr>
                <w:ilvl w:val="0"/>
                <w:numId w:val="10"/>
              </w:numPr>
              <w:tabs>
                <w:tab w:val="left" w:pos="406"/>
              </w:tabs>
              <w:spacing w:before="0" w:after="0" w:line="252" w:lineRule="auto"/>
              <w:ind w:left="42" w:right="11" w:firstLine="0"/>
              <w:jc w:val="both"/>
              <w:rPr>
                <w:sz w:val="24"/>
              </w:rPr>
            </w:pPr>
            <w:r>
              <w:rPr>
                <w:spacing w:val="-1"/>
                <w:sz w:val="24"/>
              </w:rPr>
              <w:t>房地產中介人在訂立房地產中介合同前</w:t>
            </w:r>
            <w:r>
              <w:rPr>
                <w:sz w:val="24"/>
              </w:rPr>
              <w:t>向客戶提供涉及房地產中介業務的服務；</w:t>
            </w:r>
          </w:p>
          <w:p>
            <w:pPr>
              <w:pStyle w:val="8"/>
              <w:numPr>
                <w:ilvl w:val="0"/>
                <w:numId w:val="10"/>
              </w:numPr>
              <w:tabs>
                <w:tab w:val="left" w:pos="406"/>
              </w:tabs>
              <w:spacing w:before="15" w:after="0" w:line="252" w:lineRule="auto"/>
              <w:ind w:left="42" w:right="11" w:firstLine="0"/>
              <w:jc w:val="both"/>
              <w:rPr>
                <w:sz w:val="24"/>
              </w:rPr>
            </w:pPr>
            <w:r>
              <w:rPr>
                <w:spacing w:val="-1"/>
                <w:sz w:val="24"/>
              </w:rPr>
              <w:t>房地產中介人沒有履行對客戶應遵的義</w:t>
            </w:r>
            <w:r>
              <w:rPr>
                <w:sz w:val="24"/>
              </w:rPr>
              <w:t>務；</w:t>
            </w:r>
          </w:p>
          <w:p>
            <w:pPr>
              <w:pStyle w:val="8"/>
              <w:numPr>
                <w:ilvl w:val="0"/>
                <w:numId w:val="10"/>
              </w:numPr>
              <w:tabs>
                <w:tab w:val="left" w:pos="406"/>
              </w:tabs>
              <w:spacing w:before="14" w:after="0" w:line="256" w:lineRule="auto"/>
              <w:ind w:left="42" w:right="11" w:firstLine="0"/>
              <w:jc w:val="both"/>
              <w:rPr>
                <w:sz w:val="24"/>
              </w:rPr>
            </w:pPr>
            <w:r>
              <w:rPr>
                <w:spacing w:val="-1"/>
                <w:sz w:val="24"/>
              </w:rPr>
              <w:t xml:space="preserve">房地產中介人沒有將已訂立的房地產中介合同存檔及保存 </w:t>
            </w:r>
            <w:r>
              <w:rPr>
                <w:rFonts w:ascii="Verdana" w:eastAsia="Verdana"/>
                <w:sz w:val="24"/>
              </w:rPr>
              <w:t>5</w:t>
            </w:r>
            <w:r>
              <w:rPr>
                <w:rFonts w:ascii="Verdana" w:eastAsia="Verdana"/>
                <w:spacing w:val="-23"/>
                <w:sz w:val="24"/>
              </w:rPr>
              <w:t xml:space="preserve"> </w:t>
            </w:r>
            <w:r>
              <w:rPr>
                <w:sz w:val="24"/>
              </w:rPr>
              <w:t>年；</w:t>
            </w:r>
          </w:p>
          <w:p>
            <w:pPr>
              <w:pStyle w:val="8"/>
              <w:numPr>
                <w:ilvl w:val="0"/>
                <w:numId w:val="10"/>
              </w:numPr>
              <w:tabs>
                <w:tab w:val="left" w:pos="406"/>
              </w:tabs>
              <w:spacing w:before="0" w:after="0" w:line="256" w:lineRule="auto"/>
              <w:ind w:left="42" w:right="11" w:firstLine="0"/>
              <w:jc w:val="both"/>
              <w:rPr>
                <w:sz w:val="24"/>
              </w:rPr>
            </w:pPr>
            <w:r>
              <w:rPr>
                <w:spacing w:val="-1"/>
                <w:sz w:val="24"/>
              </w:rPr>
              <w:t>房地產中介人不服從房屋局的監察，並</w:t>
            </w:r>
            <w:r>
              <w:rPr>
                <w:spacing w:val="8"/>
                <w:sz w:val="24"/>
              </w:rPr>
              <w:t>沒有讓適當表明身份的工作人員進入商業營業場所以查閱及索取存檔合同及其他與房地產中介活動有關的文件；</w:t>
            </w:r>
          </w:p>
          <w:p>
            <w:pPr>
              <w:pStyle w:val="8"/>
              <w:numPr>
                <w:ilvl w:val="0"/>
                <w:numId w:val="10"/>
              </w:numPr>
              <w:tabs>
                <w:tab w:val="left" w:pos="406"/>
              </w:tabs>
              <w:spacing w:before="1" w:after="0" w:line="254" w:lineRule="auto"/>
              <w:ind w:left="42" w:right="11" w:firstLine="0"/>
              <w:jc w:val="both"/>
              <w:rPr>
                <w:sz w:val="24"/>
              </w:rPr>
            </w:pPr>
            <w:r>
              <w:rPr>
                <w:spacing w:val="-1"/>
                <w:sz w:val="24"/>
              </w:rPr>
              <w:t>房地產中介人沒有在指定期限內，向房</w:t>
            </w:r>
            <w:r>
              <w:rPr>
                <w:spacing w:val="8"/>
                <w:sz w:val="24"/>
              </w:rPr>
              <w:t>屋局提供其所要求的與從事</w:t>
            </w:r>
            <w:bookmarkStart w:id="0" w:name="_GoBack"/>
            <w:bookmarkEnd w:id="0"/>
            <w:r>
              <w:rPr>
                <w:spacing w:val="8"/>
                <w:sz w:val="24"/>
              </w:rPr>
              <w:t>房地產中介業務有關的資料；</w:t>
            </w:r>
          </w:p>
          <w:p>
            <w:pPr>
              <w:pStyle w:val="8"/>
              <w:numPr>
                <w:ilvl w:val="0"/>
                <w:numId w:val="10"/>
              </w:numPr>
              <w:tabs>
                <w:tab w:val="left" w:pos="406"/>
              </w:tabs>
              <w:spacing w:before="12" w:after="0" w:line="256" w:lineRule="auto"/>
              <w:ind w:left="42" w:right="2" w:firstLine="0"/>
              <w:jc w:val="both"/>
              <w:rPr>
                <w:sz w:val="24"/>
              </w:rPr>
            </w:pPr>
            <w:r>
              <w:rPr>
                <w:sz w:val="24"/>
              </w:rPr>
              <w:t>房地產中介人沒有監管其房地產經紀遵</w:t>
            </w:r>
            <w:r>
              <w:rPr>
                <w:spacing w:val="-10"/>
                <w:sz w:val="24"/>
              </w:rPr>
              <w:t>守《房地產中介業務法》、補充法規及公佈</w:t>
            </w:r>
            <w:r>
              <w:rPr>
                <w:spacing w:val="8"/>
                <w:sz w:val="24"/>
              </w:rPr>
              <w:t>於《澳門特別行政區公報》的行政長官批</w:t>
            </w:r>
            <w:r>
              <w:rPr>
                <w:spacing w:val="-10"/>
                <w:sz w:val="24"/>
              </w:rPr>
              <w:t>示，就涉及本法律所訂定的具約束力及強制</w:t>
            </w:r>
          </w:p>
          <w:p>
            <w:pPr>
              <w:pStyle w:val="8"/>
              <w:spacing w:line="332" w:lineRule="exact"/>
              <w:ind w:left="42"/>
              <w:jc w:val="left"/>
              <w:rPr>
                <w:sz w:val="24"/>
              </w:rPr>
            </w:pPr>
            <w:r>
              <w:rPr>
                <w:sz w:val="24"/>
              </w:rPr>
              <w:t>性的指引；</w:t>
            </w:r>
          </w:p>
        </w:tc>
        <w:tc>
          <w:tcPr>
            <w:tcW w:w="5104" w:type="dxa"/>
            <w:tcBorders>
              <w:right w:val="single" w:color="ACA899" w:sz="6" w:space="0"/>
            </w:tcBorders>
          </w:tcPr>
          <w:p>
            <w:pPr>
              <w:pStyle w:val="8"/>
              <w:jc w:val="left"/>
              <w:rPr>
                <w:sz w:val="24"/>
              </w:rPr>
            </w:pPr>
          </w:p>
          <w:p>
            <w:pPr>
              <w:pStyle w:val="8"/>
              <w:jc w:val="left"/>
              <w:rPr>
                <w:sz w:val="24"/>
              </w:rPr>
            </w:pPr>
          </w:p>
          <w:p>
            <w:pPr>
              <w:pStyle w:val="8"/>
              <w:jc w:val="left"/>
              <w:rPr>
                <w:sz w:val="24"/>
              </w:rPr>
            </w:pPr>
          </w:p>
          <w:p>
            <w:pPr>
              <w:pStyle w:val="8"/>
              <w:jc w:val="left"/>
              <w:rPr>
                <w:sz w:val="24"/>
              </w:rPr>
            </w:pPr>
          </w:p>
          <w:p>
            <w:pPr>
              <w:pStyle w:val="8"/>
              <w:jc w:val="left"/>
              <w:rPr>
                <w:sz w:val="24"/>
              </w:rPr>
            </w:pPr>
          </w:p>
          <w:p>
            <w:pPr>
              <w:pStyle w:val="8"/>
              <w:jc w:val="left"/>
              <w:rPr>
                <w:sz w:val="24"/>
              </w:rPr>
            </w:pPr>
          </w:p>
          <w:p>
            <w:pPr>
              <w:pStyle w:val="8"/>
              <w:jc w:val="left"/>
              <w:rPr>
                <w:sz w:val="24"/>
              </w:rPr>
            </w:pPr>
          </w:p>
          <w:p>
            <w:pPr>
              <w:pStyle w:val="8"/>
              <w:spacing w:before="13"/>
              <w:jc w:val="left"/>
              <w:rPr>
                <w:sz w:val="26"/>
              </w:rPr>
            </w:pPr>
          </w:p>
          <w:p>
            <w:pPr>
              <w:pStyle w:val="8"/>
              <w:ind w:left="1100" w:right="1109"/>
              <w:rPr>
                <w:sz w:val="24"/>
              </w:rPr>
            </w:pPr>
            <w:r>
              <w:rPr>
                <w:sz w:val="24"/>
              </w:rPr>
              <w:t>罰款：</w:t>
            </w:r>
          </w:p>
          <w:p>
            <w:pPr>
              <w:pStyle w:val="8"/>
              <w:spacing w:before="30" w:line="256" w:lineRule="auto"/>
              <w:ind w:left="1103" w:right="1109"/>
              <w:rPr>
                <w:sz w:val="24"/>
              </w:rPr>
            </w:pPr>
            <w:r>
              <w:rPr>
                <w:spacing w:val="-1"/>
                <w:sz w:val="24"/>
              </w:rPr>
              <w:t xml:space="preserve">科澳門幣 </w:t>
            </w:r>
            <w:r>
              <w:rPr>
                <w:rFonts w:ascii="Verdana" w:eastAsia="Verdana"/>
                <w:sz w:val="24"/>
              </w:rPr>
              <w:t>2</w:t>
            </w:r>
            <w:r>
              <w:rPr>
                <w:rFonts w:ascii="Verdana" w:eastAsia="Verdana"/>
                <w:spacing w:val="-24"/>
                <w:sz w:val="24"/>
              </w:rPr>
              <w:t xml:space="preserve"> </w:t>
            </w:r>
            <w:r>
              <w:rPr>
                <w:spacing w:val="-1"/>
                <w:sz w:val="24"/>
              </w:rPr>
              <w:t xml:space="preserve">萬元至 </w:t>
            </w:r>
            <w:r>
              <w:rPr>
                <w:rFonts w:ascii="Verdana" w:eastAsia="Verdana"/>
                <w:sz w:val="24"/>
              </w:rPr>
              <w:t>10</w:t>
            </w:r>
            <w:r>
              <w:rPr>
                <w:rFonts w:ascii="Verdana" w:eastAsia="Verdana"/>
                <w:spacing w:val="-26"/>
                <w:sz w:val="24"/>
              </w:rPr>
              <w:t xml:space="preserve"> </w:t>
            </w:r>
            <w:r>
              <w:rPr>
                <w:spacing w:val="-8"/>
                <w:sz w:val="24"/>
              </w:rPr>
              <w:t>萬元</w:t>
            </w:r>
            <w:r>
              <w:rPr>
                <w:sz w:val="24"/>
              </w:rPr>
              <w:t>或</w:t>
            </w:r>
            <w:r>
              <w:rPr>
                <w:rFonts w:ascii="Verdana" w:eastAsia="Verdana"/>
                <w:sz w:val="24"/>
              </w:rPr>
              <w:t>/</w:t>
            </w:r>
            <w:r>
              <w:rPr>
                <w:sz w:val="24"/>
              </w:rPr>
              <w:t>及</w:t>
            </w:r>
          </w:p>
          <w:p>
            <w:pPr>
              <w:pStyle w:val="8"/>
              <w:spacing w:line="329" w:lineRule="exact"/>
              <w:ind w:left="1100" w:right="1109"/>
              <w:rPr>
                <w:sz w:val="24"/>
              </w:rPr>
            </w:pPr>
            <w:r>
              <w:rPr>
                <w:sz w:val="24"/>
              </w:rPr>
              <w:t>附加處罰：</w:t>
            </w:r>
          </w:p>
          <w:p>
            <w:pPr>
              <w:pStyle w:val="8"/>
              <w:spacing w:before="30"/>
              <w:ind w:left="112" w:right="118"/>
              <w:rPr>
                <w:sz w:val="24"/>
              </w:rPr>
            </w:pPr>
            <w:r>
              <w:rPr>
                <w:sz w:val="24"/>
              </w:rPr>
              <w:t xml:space="preserve">關閉商業營業場所 </w:t>
            </w:r>
            <w:r>
              <w:rPr>
                <w:rFonts w:ascii="Verdana" w:eastAsia="Verdana"/>
                <w:sz w:val="24"/>
              </w:rPr>
              <w:t xml:space="preserve">1 </w:t>
            </w:r>
            <w:r>
              <w:rPr>
                <w:sz w:val="24"/>
              </w:rPr>
              <w:t xml:space="preserve">個月至 </w:t>
            </w:r>
            <w:r>
              <w:rPr>
                <w:rFonts w:ascii="Verdana" w:eastAsia="Verdana"/>
                <w:sz w:val="24"/>
              </w:rPr>
              <w:t xml:space="preserve">1 </w:t>
            </w:r>
            <w:r>
              <w:rPr>
                <w:sz w:val="24"/>
              </w:rPr>
              <w:t>年，或</w:t>
            </w:r>
            <w:r>
              <w:rPr>
                <w:rFonts w:ascii="Verdana" w:eastAsia="Verdana"/>
                <w:sz w:val="24"/>
              </w:rPr>
              <w:t>/</w:t>
            </w:r>
            <w:r>
              <w:rPr>
                <w:sz w:val="24"/>
              </w:rPr>
              <w:t>及</w:t>
            </w:r>
          </w:p>
          <w:p>
            <w:pPr>
              <w:pStyle w:val="8"/>
              <w:spacing w:before="23"/>
              <w:ind w:left="112" w:right="116"/>
              <w:rPr>
                <w:sz w:val="24"/>
              </w:rPr>
            </w:pPr>
            <w:r>
              <w:rPr>
                <w:sz w:val="24"/>
              </w:rPr>
              <w:t xml:space="preserve">禁止從事房地產中介業務 </w:t>
            </w:r>
            <w:r>
              <w:rPr>
                <w:rFonts w:ascii="Verdana" w:eastAsia="Verdana"/>
                <w:sz w:val="24"/>
              </w:rPr>
              <w:t xml:space="preserve">1 </w:t>
            </w:r>
            <w:r>
              <w:rPr>
                <w:sz w:val="24"/>
              </w:rPr>
              <w:t xml:space="preserve">個月至 </w:t>
            </w:r>
            <w:r>
              <w:rPr>
                <w:rFonts w:ascii="Verdana" w:eastAsia="Verdana"/>
                <w:sz w:val="24"/>
              </w:rPr>
              <w:t xml:space="preserve">1 </w:t>
            </w:r>
            <w:r>
              <w:rPr>
                <w:sz w:val="24"/>
              </w:rPr>
              <w:t>年</w:t>
            </w:r>
          </w:p>
        </w:tc>
      </w:tr>
      <w:tr>
        <w:tblPrEx>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CellMar>
            <w:top w:w="0" w:type="dxa"/>
            <w:left w:w="0" w:type="dxa"/>
            <w:bottom w:w="0" w:type="dxa"/>
            <w:right w:w="0" w:type="dxa"/>
          </w:tblCellMar>
        </w:tblPrEx>
        <w:trPr>
          <w:trHeight w:val="2190" w:hRule="atLeast"/>
        </w:trPr>
        <w:tc>
          <w:tcPr>
            <w:tcW w:w="4580" w:type="dxa"/>
            <w:tcBorders>
              <w:left w:val="single" w:color="EBE9D7" w:sz="6" w:space="0"/>
            </w:tcBorders>
          </w:tcPr>
          <w:p>
            <w:pPr>
              <w:pStyle w:val="8"/>
              <w:spacing w:before="2"/>
              <w:jc w:val="left"/>
              <w:rPr>
                <w:sz w:val="28"/>
              </w:rPr>
            </w:pPr>
          </w:p>
          <w:p>
            <w:pPr>
              <w:pStyle w:val="8"/>
              <w:numPr>
                <w:ilvl w:val="0"/>
                <w:numId w:val="11"/>
              </w:numPr>
              <w:tabs>
                <w:tab w:val="left" w:pos="403"/>
              </w:tabs>
              <w:spacing w:before="0" w:after="0" w:line="252" w:lineRule="auto"/>
              <w:ind w:left="42" w:right="65" w:firstLine="0"/>
              <w:jc w:val="left"/>
              <w:rPr>
                <w:sz w:val="24"/>
              </w:rPr>
            </w:pPr>
            <w:r>
              <w:rPr>
                <w:spacing w:val="-1"/>
                <w:sz w:val="24"/>
              </w:rPr>
              <w:t>房地產經紀為多於一名房地產中介人提</w:t>
            </w:r>
            <w:r>
              <w:rPr>
                <w:sz w:val="24"/>
              </w:rPr>
              <w:t>供服務，且沒有獲中介人明示許可；</w:t>
            </w:r>
          </w:p>
          <w:p>
            <w:pPr>
              <w:pStyle w:val="8"/>
              <w:numPr>
                <w:ilvl w:val="0"/>
                <w:numId w:val="11"/>
              </w:numPr>
              <w:tabs>
                <w:tab w:val="left" w:pos="403"/>
              </w:tabs>
              <w:spacing w:before="14" w:after="0" w:line="252" w:lineRule="auto"/>
              <w:ind w:left="42" w:right="65" w:firstLine="0"/>
              <w:jc w:val="left"/>
              <w:rPr>
                <w:sz w:val="24"/>
              </w:rPr>
            </w:pPr>
            <w:r>
              <w:rPr>
                <w:spacing w:val="-1"/>
                <w:sz w:val="24"/>
              </w:rPr>
              <w:t>房地產經紀沒有協助其所屬的房地產中</w:t>
            </w:r>
            <w:r>
              <w:rPr>
                <w:sz w:val="24"/>
              </w:rPr>
              <w:t>介人履行對客戶應遵的各項義務；</w:t>
            </w:r>
          </w:p>
        </w:tc>
        <w:tc>
          <w:tcPr>
            <w:tcW w:w="5104" w:type="dxa"/>
            <w:tcBorders>
              <w:right w:val="single" w:color="ACA899" w:sz="6" w:space="0"/>
            </w:tcBorders>
          </w:tcPr>
          <w:p>
            <w:pPr>
              <w:pStyle w:val="8"/>
              <w:spacing w:before="28"/>
              <w:ind w:left="1100" w:right="1109"/>
              <w:rPr>
                <w:sz w:val="24"/>
              </w:rPr>
            </w:pPr>
            <w:r>
              <w:rPr>
                <w:sz w:val="24"/>
              </w:rPr>
              <w:t>罰款：</w:t>
            </w:r>
          </w:p>
          <w:p>
            <w:pPr>
              <w:pStyle w:val="8"/>
              <w:spacing w:before="30" w:line="256" w:lineRule="auto"/>
              <w:ind w:left="1180" w:right="1186"/>
              <w:rPr>
                <w:sz w:val="24"/>
              </w:rPr>
            </w:pPr>
            <w:r>
              <w:rPr>
                <w:spacing w:val="-1"/>
                <w:sz w:val="24"/>
              </w:rPr>
              <w:t xml:space="preserve">科澳門幣 </w:t>
            </w:r>
            <w:r>
              <w:rPr>
                <w:rFonts w:ascii="Verdana" w:eastAsia="Verdana"/>
                <w:sz w:val="24"/>
              </w:rPr>
              <w:t>1</w:t>
            </w:r>
            <w:r>
              <w:rPr>
                <w:rFonts w:ascii="Verdana" w:eastAsia="Verdana"/>
                <w:spacing w:val="-24"/>
                <w:sz w:val="24"/>
              </w:rPr>
              <w:t xml:space="preserve"> </w:t>
            </w:r>
            <w:r>
              <w:rPr>
                <w:spacing w:val="-1"/>
                <w:sz w:val="24"/>
              </w:rPr>
              <w:t xml:space="preserve">萬元至 </w:t>
            </w:r>
            <w:r>
              <w:rPr>
                <w:rFonts w:ascii="Verdana" w:eastAsia="Verdana"/>
                <w:sz w:val="24"/>
              </w:rPr>
              <w:t>5</w:t>
            </w:r>
            <w:r>
              <w:rPr>
                <w:rFonts w:ascii="Verdana" w:eastAsia="Verdana"/>
                <w:spacing w:val="-26"/>
                <w:sz w:val="24"/>
              </w:rPr>
              <w:t xml:space="preserve"> </w:t>
            </w:r>
            <w:r>
              <w:rPr>
                <w:spacing w:val="-8"/>
                <w:sz w:val="24"/>
              </w:rPr>
              <w:t>萬元</w:t>
            </w:r>
            <w:r>
              <w:rPr>
                <w:sz w:val="24"/>
              </w:rPr>
              <w:t>或</w:t>
            </w:r>
            <w:r>
              <w:rPr>
                <w:rFonts w:ascii="Verdana" w:eastAsia="Verdana"/>
                <w:sz w:val="24"/>
              </w:rPr>
              <w:t>/</w:t>
            </w:r>
            <w:r>
              <w:rPr>
                <w:sz w:val="24"/>
              </w:rPr>
              <w:t>及</w:t>
            </w:r>
          </w:p>
          <w:p>
            <w:pPr>
              <w:pStyle w:val="8"/>
              <w:spacing w:line="329" w:lineRule="exact"/>
              <w:ind w:left="1100" w:right="1109"/>
              <w:rPr>
                <w:sz w:val="24"/>
              </w:rPr>
            </w:pPr>
            <w:r>
              <w:rPr>
                <w:sz w:val="24"/>
              </w:rPr>
              <w:t>附加處罰：</w:t>
            </w:r>
          </w:p>
          <w:p>
            <w:pPr>
              <w:pStyle w:val="8"/>
              <w:spacing w:before="30"/>
              <w:ind w:left="112" w:right="118"/>
              <w:rPr>
                <w:sz w:val="24"/>
              </w:rPr>
            </w:pPr>
            <w:r>
              <w:rPr>
                <w:sz w:val="24"/>
              </w:rPr>
              <w:t xml:space="preserve">關閉商業營業場所 </w:t>
            </w:r>
            <w:r>
              <w:rPr>
                <w:rFonts w:ascii="Verdana" w:eastAsia="Verdana"/>
                <w:sz w:val="24"/>
              </w:rPr>
              <w:t xml:space="preserve">1 </w:t>
            </w:r>
            <w:r>
              <w:rPr>
                <w:sz w:val="24"/>
              </w:rPr>
              <w:t xml:space="preserve">個月至 </w:t>
            </w:r>
            <w:r>
              <w:rPr>
                <w:rFonts w:ascii="Verdana" w:eastAsia="Verdana"/>
                <w:sz w:val="24"/>
              </w:rPr>
              <w:t xml:space="preserve">1 </w:t>
            </w:r>
            <w:r>
              <w:rPr>
                <w:sz w:val="24"/>
              </w:rPr>
              <w:t>年，或</w:t>
            </w:r>
            <w:r>
              <w:rPr>
                <w:rFonts w:ascii="Verdana" w:eastAsia="Verdana"/>
                <w:sz w:val="24"/>
              </w:rPr>
              <w:t>/</w:t>
            </w:r>
            <w:r>
              <w:rPr>
                <w:sz w:val="24"/>
              </w:rPr>
              <w:t>及</w:t>
            </w:r>
          </w:p>
          <w:p>
            <w:pPr>
              <w:pStyle w:val="8"/>
              <w:spacing w:before="23" w:line="336" w:lineRule="exact"/>
              <w:ind w:left="112" w:right="116"/>
              <w:rPr>
                <w:sz w:val="24"/>
              </w:rPr>
            </w:pPr>
            <w:r>
              <w:rPr>
                <w:sz w:val="24"/>
              </w:rPr>
              <w:t xml:space="preserve">禁止從事房地產中介業務 </w:t>
            </w:r>
            <w:r>
              <w:rPr>
                <w:rFonts w:ascii="Verdana" w:eastAsia="Verdana"/>
                <w:sz w:val="24"/>
              </w:rPr>
              <w:t xml:space="preserve">1 </w:t>
            </w:r>
            <w:r>
              <w:rPr>
                <w:sz w:val="24"/>
              </w:rPr>
              <w:t xml:space="preserve">個月至 </w:t>
            </w:r>
            <w:r>
              <w:rPr>
                <w:rFonts w:ascii="Verdana" w:eastAsia="Verdana"/>
                <w:sz w:val="24"/>
              </w:rPr>
              <w:t xml:space="preserve">1 </w:t>
            </w:r>
            <w:r>
              <w:rPr>
                <w:sz w:val="24"/>
              </w:rPr>
              <w:t>年</w:t>
            </w:r>
          </w:p>
        </w:tc>
      </w:tr>
      <w:tr>
        <w:tblPrEx>
          <w:tblBorders>
            <w:top w:val="double" w:color="ACA899" w:sz="2" w:space="0"/>
            <w:left w:val="double" w:color="ACA899" w:sz="2" w:space="0"/>
            <w:bottom w:val="double" w:color="ACA899" w:sz="2" w:space="0"/>
            <w:right w:val="double" w:color="ACA899" w:sz="2" w:space="0"/>
            <w:insideH w:val="double" w:color="ACA899" w:sz="2" w:space="0"/>
            <w:insideV w:val="double" w:color="ACA899" w:sz="2" w:space="0"/>
          </w:tblBorders>
          <w:tblCellMar>
            <w:top w:w="0" w:type="dxa"/>
            <w:left w:w="0" w:type="dxa"/>
            <w:bottom w:w="0" w:type="dxa"/>
            <w:right w:w="0" w:type="dxa"/>
          </w:tblCellMar>
        </w:tblPrEx>
        <w:trPr>
          <w:trHeight w:val="1468" w:hRule="atLeast"/>
        </w:trPr>
        <w:tc>
          <w:tcPr>
            <w:tcW w:w="4580" w:type="dxa"/>
            <w:tcBorders>
              <w:left w:val="single" w:color="EBE9D7" w:sz="6" w:space="0"/>
            </w:tcBorders>
          </w:tcPr>
          <w:p>
            <w:pPr>
              <w:pStyle w:val="8"/>
              <w:spacing w:before="3" w:line="360" w:lineRule="atLeast"/>
              <w:ind w:left="42" w:right="5"/>
              <w:jc w:val="left"/>
              <w:rPr>
                <w:sz w:val="24"/>
              </w:rPr>
            </w:pPr>
            <w:r>
              <w:rPr>
                <w:sz w:val="24"/>
              </w:rPr>
              <w:t>違反本法律或補充法規的其他規定或不遵</w:t>
            </w:r>
            <w:r>
              <w:rPr>
                <w:spacing w:val="-9"/>
                <w:sz w:val="24"/>
              </w:rPr>
              <w:t>守公佈於《澳門特別行政區公報》的行政長</w:t>
            </w:r>
            <w:r>
              <w:rPr>
                <w:spacing w:val="-10"/>
                <w:sz w:val="24"/>
              </w:rPr>
              <w:t>官批示，就涉及房地產中介業務所訂定的具</w:t>
            </w:r>
            <w:r>
              <w:rPr>
                <w:sz w:val="24"/>
              </w:rPr>
              <w:t>有約束力及強制性的指引者。</w:t>
            </w:r>
          </w:p>
        </w:tc>
        <w:tc>
          <w:tcPr>
            <w:tcW w:w="5104" w:type="dxa"/>
            <w:tcBorders>
              <w:right w:val="single" w:color="ACA899" w:sz="6" w:space="0"/>
            </w:tcBorders>
          </w:tcPr>
          <w:p>
            <w:pPr>
              <w:pStyle w:val="8"/>
              <w:spacing w:before="10"/>
              <w:jc w:val="left"/>
              <w:rPr>
                <w:sz w:val="27"/>
              </w:rPr>
            </w:pPr>
          </w:p>
          <w:p>
            <w:pPr>
              <w:pStyle w:val="8"/>
              <w:ind w:left="1100" w:right="1109"/>
              <w:rPr>
                <w:sz w:val="24"/>
              </w:rPr>
            </w:pPr>
            <w:r>
              <w:rPr>
                <w:sz w:val="24"/>
              </w:rPr>
              <w:t>罰款：</w:t>
            </w:r>
          </w:p>
          <w:p>
            <w:pPr>
              <w:pStyle w:val="8"/>
              <w:spacing w:before="30"/>
              <w:ind w:left="112" w:right="118"/>
              <w:rPr>
                <w:sz w:val="24"/>
              </w:rPr>
            </w:pPr>
            <w:r>
              <w:rPr>
                <w:sz w:val="24"/>
              </w:rPr>
              <w:t xml:space="preserve">科澳門幣 </w:t>
            </w:r>
            <w:r>
              <w:rPr>
                <w:rFonts w:ascii="Verdana" w:eastAsia="Verdana"/>
                <w:sz w:val="24"/>
              </w:rPr>
              <w:t xml:space="preserve">5 </w:t>
            </w:r>
            <w:r>
              <w:rPr>
                <w:sz w:val="24"/>
              </w:rPr>
              <w:t xml:space="preserve">千元至 </w:t>
            </w:r>
            <w:r>
              <w:rPr>
                <w:rFonts w:ascii="Verdana" w:eastAsia="Verdana"/>
                <w:sz w:val="24"/>
              </w:rPr>
              <w:t xml:space="preserve">2 </w:t>
            </w:r>
            <w:r>
              <w:rPr>
                <w:sz w:val="24"/>
              </w:rPr>
              <w:t xml:space="preserve">萬 </w:t>
            </w:r>
            <w:r>
              <w:rPr>
                <w:rFonts w:ascii="Verdana" w:eastAsia="Verdana"/>
                <w:sz w:val="24"/>
              </w:rPr>
              <w:t xml:space="preserve">5 </w:t>
            </w:r>
            <w:r>
              <w:rPr>
                <w:sz w:val="24"/>
              </w:rPr>
              <w:t>千元</w:t>
            </w:r>
          </w:p>
        </w:tc>
      </w:tr>
    </w:tbl>
    <w:p>
      <w:pPr>
        <w:pStyle w:val="3"/>
        <w:spacing w:before="8"/>
        <w:rPr>
          <w:sz w:val="15"/>
        </w:rPr>
      </w:pPr>
    </w:p>
    <w:p>
      <w:pPr>
        <w:pStyle w:val="3"/>
        <w:spacing w:before="101" w:line="252" w:lineRule="auto"/>
        <w:ind w:left="162" w:right="1255"/>
      </w:pPr>
      <w:r>
        <w:rPr>
          <w:spacing w:val="-7"/>
        </w:rPr>
        <w:t xml:space="preserve">註：根據《房地產中介業務法》第 </w:t>
      </w:r>
      <w:r>
        <w:rPr>
          <w:rFonts w:ascii="Verdana" w:hAnsi="Verdana" w:eastAsia="Verdana"/>
        </w:rPr>
        <w:t xml:space="preserve">36 </w:t>
      </w:r>
      <w:r>
        <w:rPr>
          <w:spacing w:val="-7"/>
        </w:rPr>
        <w:t>條的規定，“如違法者為累犯，須將最低罰</w:t>
      </w:r>
      <w:r>
        <w:t>款額提高四分之一，最高罰款額則維持不變。”</w:t>
      </w:r>
    </w:p>
    <w:p>
      <w:pPr>
        <w:spacing w:after="0" w:line="252" w:lineRule="auto"/>
        <w:sectPr>
          <w:pgSz w:w="11910" w:h="16840"/>
          <w:pgMar w:top="1120" w:right="440" w:bottom="280" w:left="1540" w:header="720" w:footer="720" w:gutter="0"/>
        </w:sectPr>
      </w:pPr>
    </w:p>
    <w:p>
      <w:pPr>
        <w:pStyle w:val="2"/>
        <w:spacing w:line="389" w:lineRule="exact"/>
      </w:pPr>
      <w:r>
        <w:t>保全措施</w:t>
      </w:r>
    </w:p>
    <w:p>
      <w:pPr>
        <w:pStyle w:val="3"/>
        <w:spacing w:before="6"/>
        <w:rPr>
          <w:rFonts w:ascii="Microsoft JhengHei"/>
          <w:b/>
          <w:sz w:val="13"/>
        </w:rPr>
      </w:pPr>
    </w:p>
    <w:p>
      <w:pPr>
        <w:pStyle w:val="3"/>
        <w:spacing w:line="285" w:lineRule="auto"/>
        <w:ind w:left="162" w:right="1267"/>
      </w:pPr>
      <w:r>
        <w:t>如有跡象顯示存在毀壞或滅失證據的風險或繼續作出違法行為，經考慮違法行為的嚴重性及其行為人的過錯程度後，可對違法者單獨或一併適用以下保全措施：</w:t>
      </w:r>
    </w:p>
    <w:p>
      <w:pPr>
        <w:pStyle w:val="7"/>
        <w:numPr>
          <w:ilvl w:val="0"/>
          <w:numId w:val="12"/>
        </w:numPr>
        <w:tabs>
          <w:tab w:val="left" w:pos="763"/>
        </w:tabs>
        <w:spacing w:before="3" w:after="0" w:line="240" w:lineRule="auto"/>
        <w:ind w:left="763" w:right="0" w:hanging="601"/>
        <w:jc w:val="left"/>
        <w:rPr>
          <w:sz w:val="24"/>
        </w:rPr>
      </w:pPr>
      <w:r>
        <w:rPr>
          <w:sz w:val="24"/>
        </w:rPr>
        <w:t>暫時關閉商業營業場所；</w:t>
      </w:r>
    </w:p>
    <w:p>
      <w:pPr>
        <w:pStyle w:val="7"/>
        <w:numPr>
          <w:ilvl w:val="0"/>
          <w:numId w:val="12"/>
        </w:numPr>
        <w:tabs>
          <w:tab w:val="left" w:pos="763"/>
        </w:tabs>
        <w:spacing w:before="63" w:after="0" w:line="240" w:lineRule="auto"/>
        <w:ind w:left="763" w:right="0" w:hanging="601"/>
        <w:jc w:val="left"/>
        <w:rPr>
          <w:sz w:val="24"/>
        </w:rPr>
      </w:pPr>
      <w:r>
        <w:rPr>
          <w:sz w:val="24"/>
        </w:rPr>
        <w:t>防範性停業。</w:t>
      </w: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rPr>
          <w:sz w:val="26"/>
        </w:rPr>
      </w:pPr>
    </w:p>
    <w:p>
      <w:pPr>
        <w:pStyle w:val="3"/>
        <w:spacing w:before="3"/>
        <w:rPr>
          <w:sz w:val="18"/>
        </w:rPr>
      </w:pPr>
    </w:p>
    <w:p>
      <w:pPr>
        <w:pStyle w:val="3"/>
        <w:ind w:right="2321"/>
        <w:jc w:val="right"/>
      </w:pPr>
      <w:r>
        <w:t>房屋局</w:t>
      </w:r>
    </w:p>
    <w:p>
      <w:pPr>
        <w:pStyle w:val="3"/>
        <w:spacing w:before="7"/>
        <w:rPr>
          <w:sz w:val="27"/>
        </w:rPr>
      </w:pPr>
    </w:p>
    <w:p>
      <w:pPr>
        <w:pStyle w:val="3"/>
        <w:spacing w:before="1"/>
        <w:ind w:left="6199"/>
      </w:pPr>
      <w:r>
        <w:t>印製日期：</w:t>
      </w:r>
      <w:r>
        <w:rPr>
          <w:rFonts w:ascii="Calibri" w:eastAsia="Calibri"/>
        </w:rPr>
        <w:t xml:space="preserve">2015 </w:t>
      </w:r>
      <w:r>
        <w:t xml:space="preserve">年 </w:t>
      </w:r>
      <w:r>
        <w:rPr>
          <w:rFonts w:ascii="Calibri" w:eastAsia="Calibri"/>
        </w:rPr>
        <w:t xml:space="preserve">3 </w:t>
      </w:r>
      <w:r>
        <w:t>月</w:t>
      </w:r>
    </w:p>
    <w:sectPr>
      <w:pgSz w:w="11910" w:h="16840"/>
      <w:pgMar w:top="1100" w:right="440" w:bottom="280" w:left="15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86"/>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w:altName w:val="Segoe UI"/>
    <w:panose1 w:val="020F0502020204030204"/>
    <w:charset w:val="86"/>
    <w:family w:val="swiss"/>
    <w:pitch w:val="default"/>
    <w:sig w:usb0="00000000" w:usb1="00000000" w:usb2="00000001" w:usb3="00000000" w:csb0="0000019F" w:csb1="00000000"/>
  </w:font>
  <w:font w:name="Calibri">
    <w:altName w:val="Segoe UI"/>
    <w:panose1 w:val="00000000000000000000"/>
    <w:charset w:val="86"/>
    <w:family w:val="auto"/>
    <w:pitch w:val="default"/>
    <w:sig w:usb0="00000000" w:usb1="00000000" w:usb2="00000000" w:usb3="00000000" w:csb0="00000000" w:csb1="00000000"/>
  </w:font>
  <w:font w:name="PMingLiU">
    <w:altName w:val="Segoe Print"/>
    <w:panose1 w:val="00000000000000000000"/>
    <w:charset w:val="00"/>
    <w:family w:val="roman"/>
    <w:pitch w:val="default"/>
    <w:sig w:usb0="00000000" w:usb1="00000000" w:usb2="00000000" w:usb3="00000000" w:csb0="00000000" w:csb1="0000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86"/>
    <w:family w:val="swiss"/>
    <w:pitch w:val="default"/>
    <w:sig w:usb0="E4002EFF" w:usb1="C000E47F" w:usb2="00000009" w:usb3="00000000" w:csb0="200001FF" w:csb1="00000000"/>
  </w:font>
  <w:font w:name="Calibri">
    <w:altName w:val="Segoe U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lowerLetter"/>
      <w:lvlText w:val="%1)"/>
      <w:lvlJc w:val="left"/>
      <w:pPr>
        <w:ind w:left="1438" w:hanging="425"/>
        <w:jc w:val="left"/>
      </w:pPr>
      <w:rPr>
        <w:rFonts w:hint="default" w:ascii="Times New Roman" w:hAnsi="Times New Roman" w:eastAsia="Times New Roman" w:cs="Times New Roman"/>
        <w:spacing w:val="-15"/>
        <w:w w:val="100"/>
        <w:sz w:val="24"/>
        <w:szCs w:val="24"/>
        <w:lang w:val="zh-TW" w:eastAsia="zh-TW" w:bidi="zh-TW"/>
      </w:rPr>
    </w:lvl>
    <w:lvl w:ilvl="1" w:tentative="0">
      <w:start w:val="0"/>
      <w:numFmt w:val="bullet"/>
      <w:lvlText w:val="•"/>
      <w:lvlJc w:val="left"/>
      <w:pPr>
        <w:ind w:left="2288" w:hanging="425"/>
      </w:pPr>
      <w:rPr>
        <w:rFonts w:hint="default"/>
        <w:lang w:val="zh-TW" w:eastAsia="zh-TW" w:bidi="zh-TW"/>
      </w:rPr>
    </w:lvl>
    <w:lvl w:ilvl="2" w:tentative="0">
      <w:start w:val="0"/>
      <w:numFmt w:val="bullet"/>
      <w:lvlText w:val="•"/>
      <w:lvlJc w:val="left"/>
      <w:pPr>
        <w:ind w:left="3137" w:hanging="425"/>
      </w:pPr>
      <w:rPr>
        <w:rFonts w:hint="default"/>
        <w:lang w:val="zh-TW" w:eastAsia="zh-TW" w:bidi="zh-TW"/>
      </w:rPr>
    </w:lvl>
    <w:lvl w:ilvl="3" w:tentative="0">
      <w:start w:val="0"/>
      <w:numFmt w:val="bullet"/>
      <w:lvlText w:val="•"/>
      <w:lvlJc w:val="left"/>
      <w:pPr>
        <w:ind w:left="3985" w:hanging="425"/>
      </w:pPr>
      <w:rPr>
        <w:rFonts w:hint="default"/>
        <w:lang w:val="zh-TW" w:eastAsia="zh-TW" w:bidi="zh-TW"/>
      </w:rPr>
    </w:lvl>
    <w:lvl w:ilvl="4" w:tentative="0">
      <w:start w:val="0"/>
      <w:numFmt w:val="bullet"/>
      <w:lvlText w:val="•"/>
      <w:lvlJc w:val="left"/>
      <w:pPr>
        <w:ind w:left="4834" w:hanging="425"/>
      </w:pPr>
      <w:rPr>
        <w:rFonts w:hint="default"/>
        <w:lang w:val="zh-TW" w:eastAsia="zh-TW" w:bidi="zh-TW"/>
      </w:rPr>
    </w:lvl>
    <w:lvl w:ilvl="5" w:tentative="0">
      <w:start w:val="0"/>
      <w:numFmt w:val="bullet"/>
      <w:lvlText w:val="•"/>
      <w:lvlJc w:val="left"/>
      <w:pPr>
        <w:ind w:left="5683" w:hanging="425"/>
      </w:pPr>
      <w:rPr>
        <w:rFonts w:hint="default"/>
        <w:lang w:val="zh-TW" w:eastAsia="zh-TW" w:bidi="zh-TW"/>
      </w:rPr>
    </w:lvl>
    <w:lvl w:ilvl="6" w:tentative="0">
      <w:start w:val="0"/>
      <w:numFmt w:val="bullet"/>
      <w:lvlText w:val="•"/>
      <w:lvlJc w:val="left"/>
      <w:pPr>
        <w:ind w:left="6531" w:hanging="425"/>
      </w:pPr>
      <w:rPr>
        <w:rFonts w:hint="default"/>
        <w:lang w:val="zh-TW" w:eastAsia="zh-TW" w:bidi="zh-TW"/>
      </w:rPr>
    </w:lvl>
    <w:lvl w:ilvl="7" w:tentative="0">
      <w:start w:val="0"/>
      <w:numFmt w:val="bullet"/>
      <w:lvlText w:val="•"/>
      <w:lvlJc w:val="left"/>
      <w:pPr>
        <w:ind w:left="7380" w:hanging="425"/>
      </w:pPr>
      <w:rPr>
        <w:rFonts w:hint="default"/>
        <w:lang w:val="zh-TW" w:eastAsia="zh-TW" w:bidi="zh-TW"/>
      </w:rPr>
    </w:lvl>
    <w:lvl w:ilvl="8" w:tentative="0">
      <w:start w:val="0"/>
      <w:numFmt w:val="bullet"/>
      <w:lvlText w:val="•"/>
      <w:lvlJc w:val="left"/>
      <w:pPr>
        <w:ind w:left="8229" w:hanging="425"/>
      </w:pPr>
      <w:rPr>
        <w:rFonts w:hint="default"/>
        <w:lang w:val="zh-TW" w:eastAsia="zh-TW" w:bidi="zh-TW"/>
      </w:rPr>
    </w:lvl>
  </w:abstractNum>
  <w:abstractNum w:abstractNumId="1">
    <w:nsid w:val="B5E306ED"/>
    <w:multiLevelType w:val="multilevel"/>
    <w:tmpl w:val="B5E306ED"/>
    <w:lvl w:ilvl="0" w:tentative="0">
      <w:start w:val="1"/>
      <w:numFmt w:val="decimal"/>
      <w:lvlText w:val="%1."/>
      <w:lvlJc w:val="left"/>
      <w:pPr>
        <w:ind w:left="522" w:hanging="360"/>
        <w:jc w:val="left"/>
      </w:pPr>
      <w:rPr>
        <w:rFonts w:hint="default" w:ascii="Times New Roman" w:hAnsi="Times New Roman" w:eastAsia="Times New Roman" w:cs="Times New Roman"/>
        <w:spacing w:val="-5"/>
        <w:w w:val="100"/>
        <w:sz w:val="24"/>
        <w:szCs w:val="24"/>
        <w:lang w:val="zh-TW" w:eastAsia="zh-TW" w:bidi="zh-TW"/>
      </w:rPr>
    </w:lvl>
    <w:lvl w:ilvl="1" w:tentative="0">
      <w:start w:val="0"/>
      <w:numFmt w:val="bullet"/>
      <w:lvlText w:val="•"/>
      <w:lvlJc w:val="left"/>
      <w:pPr>
        <w:ind w:left="1460" w:hanging="360"/>
      </w:pPr>
      <w:rPr>
        <w:rFonts w:hint="default"/>
        <w:lang w:val="zh-TW" w:eastAsia="zh-TW" w:bidi="zh-TW"/>
      </w:rPr>
    </w:lvl>
    <w:lvl w:ilvl="2" w:tentative="0">
      <w:start w:val="0"/>
      <w:numFmt w:val="bullet"/>
      <w:lvlText w:val="•"/>
      <w:lvlJc w:val="left"/>
      <w:pPr>
        <w:ind w:left="2401" w:hanging="360"/>
      </w:pPr>
      <w:rPr>
        <w:rFonts w:hint="default"/>
        <w:lang w:val="zh-TW" w:eastAsia="zh-TW" w:bidi="zh-TW"/>
      </w:rPr>
    </w:lvl>
    <w:lvl w:ilvl="3" w:tentative="0">
      <w:start w:val="0"/>
      <w:numFmt w:val="bullet"/>
      <w:lvlText w:val="•"/>
      <w:lvlJc w:val="left"/>
      <w:pPr>
        <w:ind w:left="3341" w:hanging="360"/>
      </w:pPr>
      <w:rPr>
        <w:rFonts w:hint="default"/>
        <w:lang w:val="zh-TW" w:eastAsia="zh-TW" w:bidi="zh-TW"/>
      </w:rPr>
    </w:lvl>
    <w:lvl w:ilvl="4" w:tentative="0">
      <w:start w:val="0"/>
      <w:numFmt w:val="bullet"/>
      <w:lvlText w:val="•"/>
      <w:lvlJc w:val="left"/>
      <w:pPr>
        <w:ind w:left="4282" w:hanging="360"/>
      </w:pPr>
      <w:rPr>
        <w:rFonts w:hint="default"/>
        <w:lang w:val="zh-TW" w:eastAsia="zh-TW" w:bidi="zh-TW"/>
      </w:rPr>
    </w:lvl>
    <w:lvl w:ilvl="5" w:tentative="0">
      <w:start w:val="0"/>
      <w:numFmt w:val="bullet"/>
      <w:lvlText w:val="•"/>
      <w:lvlJc w:val="left"/>
      <w:pPr>
        <w:ind w:left="5223" w:hanging="360"/>
      </w:pPr>
      <w:rPr>
        <w:rFonts w:hint="default"/>
        <w:lang w:val="zh-TW" w:eastAsia="zh-TW" w:bidi="zh-TW"/>
      </w:rPr>
    </w:lvl>
    <w:lvl w:ilvl="6" w:tentative="0">
      <w:start w:val="0"/>
      <w:numFmt w:val="bullet"/>
      <w:lvlText w:val="•"/>
      <w:lvlJc w:val="left"/>
      <w:pPr>
        <w:ind w:left="6163" w:hanging="360"/>
      </w:pPr>
      <w:rPr>
        <w:rFonts w:hint="default"/>
        <w:lang w:val="zh-TW" w:eastAsia="zh-TW" w:bidi="zh-TW"/>
      </w:rPr>
    </w:lvl>
    <w:lvl w:ilvl="7" w:tentative="0">
      <w:start w:val="0"/>
      <w:numFmt w:val="bullet"/>
      <w:lvlText w:val="•"/>
      <w:lvlJc w:val="left"/>
      <w:pPr>
        <w:ind w:left="7104" w:hanging="360"/>
      </w:pPr>
      <w:rPr>
        <w:rFonts w:hint="default"/>
        <w:lang w:val="zh-TW" w:eastAsia="zh-TW" w:bidi="zh-TW"/>
      </w:rPr>
    </w:lvl>
    <w:lvl w:ilvl="8" w:tentative="0">
      <w:start w:val="0"/>
      <w:numFmt w:val="bullet"/>
      <w:lvlText w:val="•"/>
      <w:lvlJc w:val="left"/>
      <w:pPr>
        <w:ind w:left="8045" w:hanging="360"/>
      </w:pPr>
      <w:rPr>
        <w:rFonts w:hint="default"/>
        <w:lang w:val="zh-TW" w:eastAsia="zh-TW" w:bidi="zh-TW"/>
      </w:rPr>
    </w:lvl>
  </w:abstractNum>
  <w:abstractNum w:abstractNumId="2">
    <w:nsid w:val="BF205925"/>
    <w:multiLevelType w:val="multilevel"/>
    <w:tmpl w:val="BF205925"/>
    <w:lvl w:ilvl="0" w:tentative="0">
      <w:start w:val="1"/>
      <w:numFmt w:val="decimal"/>
      <w:lvlText w:val="%1."/>
      <w:lvlJc w:val="left"/>
      <w:pPr>
        <w:ind w:left="522" w:hanging="360"/>
        <w:jc w:val="left"/>
      </w:pPr>
      <w:rPr>
        <w:rFonts w:hint="default" w:ascii="Times New Roman" w:hAnsi="Times New Roman" w:eastAsia="Times New Roman" w:cs="Times New Roman"/>
        <w:spacing w:val="-1"/>
        <w:w w:val="100"/>
        <w:sz w:val="24"/>
        <w:szCs w:val="24"/>
        <w:lang w:val="zh-TW" w:eastAsia="zh-TW" w:bidi="zh-TW"/>
      </w:rPr>
    </w:lvl>
    <w:lvl w:ilvl="1" w:tentative="0">
      <w:start w:val="0"/>
      <w:numFmt w:val="bullet"/>
      <w:lvlText w:val="•"/>
      <w:lvlJc w:val="left"/>
      <w:pPr>
        <w:ind w:left="1460" w:hanging="360"/>
      </w:pPr>
      <w:rPr>
        <w:rFonts w:hint="default"/>
        <w:lang w:val="zh-TW" w:eastAsia="zh-TW" w:bidi="zh-TW"/>
      </w:rPr>
    </w:lvl>
    <w:lvl w:ilvl="2" w:tentative="0">
      <w:start w:val="0"/>
      <w:numFmt w:val="bullet"/>
      <w:lvlText w:val="•"/>
      <w:lvlJc w:val="left"/>
      <w:pPr>
        <w:ind w:left="2401" w:hanging="360"/>
      </w:pPr>
      <w:rPr>
        <w:rFonts w:hint="default"/>
        <w:lang w:val="zh-TW" w:eastAsia="zh-TW" w:bidi="zh-TW"/>
      </w:rPr>
    </w:lvl>
    <w:lvl w:ilvl="3" w:tentative="0">
      <w:start w:val="0"/>
      <w:numFmt w:val="bullet"/>
      <w:lvlText w:val="•"/>
      <w:lvlJc w:val="left"/>
      <w:pPr>
        <w:ind w:left="3341" w:hanging="360"/>
      </w:pPr>
      <w:rPr>
        <w:rFonts w:hint="default"/>
        <w:lang w:val="zh-TW" w:eastAsia="zh-TW" w:bidi="zh-TW"/>
      </w:rPr>
    </w:lvl>
    <w:lvl w:ilvl="4" w:tentative="0">
      <w:start w:val="0"/>
      <w:numFmt w:val="bullet"/>
      <w:lvlText w:val="•"/>
      <w:lvlJc w:val="left"/>
      <w:pPr>
        <w:ind w:left="4282" w:hanging="360"/>
      </w:pPr>
      <w:rPr>
        <w:rFonts w:hint="default"/>
        <w:lang w:val="zh-TW" w:eastAsia="zh-TW" w:bidi="zh-TW"/>
      </w:rPr>
    </w:lvl>
    <w:lvl w:ilvl="5" w:tentative="0">
      <w:start w:val="0"/>
      <w:numFmt w:val="bullet"/>
      <w:lvlText w:val="•"/>
      <w:lvlJc w:val="left"/>
      <w:pPr>
        <w:ind w:left="5223" w:hanging="360"/>
      </w:pPr>
      <w:rPr>
        <w:rFonts w:hint="default"/>
        <w:lang w:val="zh-TW" w:eastAsia="zh-TW" w:bidi="zh-TW"/>
      </w:rPr>
    </w:lvl>
    <w:lvl w:ilvl="6" w:tentative="0">
      <w:start w:val="0"/>
      <w:numFmt w:val="bullet"/>
      <w:lvlText w:val="•"/>
      <w:lvlJc w:val="left"/>
      <w:pPr>
        <w:ind w:left="6163" w:hanging="360"/>
      </w:pPr>
      <w:rPr>
        <w:rFonts w:hint="default"/>
        <w:lang w:val="zh-TW" w:eastAsia="zh-TW" w:bidi="zh-TW"/>
      </w:rPr>
    </w:lvl>
    <w:lvl w:ilvl="7" w:tentative="0">
      <w:start w:val="0"/>
      <w:numFmt w:val="bullet"/>
      <w:lvlText w:val="•"/>
      <w:lvlJc w:val="left"/>
      <w:pPr>
        <w:ind w:left="7104" w:hanging="360"/>
      </w:pPr>
      <w:rPr>
        <w:rFonts w:hint="default"/>
        <w:lang w:val="zh-TW" w:eastAsia="zh-TW" w:bidi="zh-TW"/>
      </w:rPr>
    </w:lvl>
    <w:lvl w:ilvl="8" w:tentative="0">
      <w:start w:val="0"/>
      <w:numFmt w:val="bullet"/>
      <w:lvlText w:val="•"/>
      <w:lvlJc w:val="left"/>
      <w:pPr>
        <w:ind w:left="8045" w:hanging="360"/>
      </w:pPr>
      <w:rPr>
        <w:rFonts w:hint="default"/>
        <w:lang w:val="zh-TW" w:eastAsia="zh-TW" w:bidi="zh-TW"/>
      </w:rPr>
    </w:lvl>
  </w:abstractNum>
  <w:abstractNum w:abstractNumId="3">
    <w:nsid w:val="C8879AEF"/>
    <w:multiLevelType w:val="multilevel"/>
    <w:tmpl w:val="C8879AEF"/>
    <w:lvl w:ilvl="0" w:tentative="0">
      <w:start w:val="1"/>
      <w:numFmt w:val="decimal"/>
      <w:lvlText w:val="（%1）"/>
      <w:lvlJc w:val="left"/>
      <w:pPr>
        <w:ind w:left="763" w:hanging="601"/>
        <w:jc w:val="left"/>
      </w:pPr>
      <w:rPr>
        <w:rFonts w:hint="default" w:ascii="PMingLiU" w:hAnsi="PMingLiU" w:eastAsia="PMingLiU" w:cs="PMingLiU"/>
        <w:spacing w:val="-1"/>
        <w:w w:val="100"/>
        <w:sz w:val="22"/>
        <w:szCs w:val="22"/>
        <w:lang w:val="zh-TW" w:eastAsia="zh-TW" w:bidi="zh-TW"/>
      </w:rPr>
    </w:lvl>
    <w:lvl w:ilvl="1" w:tentative="0">
      <w:start w:val="0"/>
      <w:numFmt w:val="bullet"/>
      <w:lvlText w:val="•"/>
      <w:lvlJc w:val="left"/>
      <w:pPr>
        <w:ind w:left="1676" w:hanging="601"/>
      </w:pPr>
      <w:rPr>
        <w:rFonts w:hint="default"/>
        <w:lang w:val="zh-TW" w:eastAsia="zh-TW" w:bidi="zh-TW"/>
      </w:rPr>
    </w:lvl>
    <w:lvl w:ilvl="2" w:tentative="0">
      <w:start w:val="0"/>
      <w:numFmt w:val="bullet"/>
      <w:lvlText w:val="•"/>
      <w:lvlJc w:val="left"/>
      <w:pPr>
        <w:ind w:left="2593" w:hanging="601"/>
      </w:pPr>
      <w:rPr>
        <w:rFonts w:hint="default"/>
        <w:lang w:val="zh-TW" w:eastAsia="zh-TW" w:bidi="zh-TW"/>
      </w:rPr>
    </w:lvl>
    <w:lvl w:ilvl="3" w:tentative="0">
      <w:start w:val="0"/>
      <w:numFmt w:val="bullet"/>
      <w:lvlText w:val="•"/>
      <w:lvlJc w:val="left"/>
      <w:pPr>
        <w:ind w:left="3509" w:hanging="601"/>
      </w:pPr>
      <w:rPr>
        <w:rFonts w:hint="default"/>
        <w:lang w:val="zh-TW" w:eastAsia="zh-TW" w:bidi="zh-TW"/>
      </w:rPr>
    </w:lvl>
    <w:lvl w:ilvl="4" w:tentative="0">
      <w:start w:val="0"/>
      <w:numFmt w:val="bullet"/>
      <w:lvlText w:val="•"/>
      <w:lvlJc w:val="left"/>
      <w:pPr>
        <w:ind w:left="4426" w:hanging="601"/>
      </w:pPr>
      <w:rPr>
        <w:rFonts w:hint="default"/>
        <w:lang w:val="zh-TW" w:eastAsia="zh-TW" w:bidi="zh-TW"/>
      </w:rPr>
    </w:lvl>
    <w:lvl w:ilvl="5" w:tentative="0">
      <w:start w:val="0"/>
      <w:numFmt w:val="bullet"/>
      <w:lvlText w:val="•"/>
      <w:lvlJc w:val="left"/>
      <w:pPr>
        <w:ind w:left="5343" w:hanging="601"/>
      </w:pPr>
      <w:rPr>
        <w:rFonts w:hint="default"/>
        <w:lang w:val="zh-TW" w:eastAsia="zh-TW" w:bidi="zh-TW"/>
      </w:rPr>
    </w:lvl>
    <w:lvl w:ilvl="6" w:tentative="0">
      <w:start w:val="0"/>
      <w:numFmt w:val="bullet"/>
      <w:lvlText w:val="•"/>
      <w:lvlJc w:val="left"/>
      <w:pPr>
        <w:ind w:left="6259" w:hanging="601"/>
      </w:pPr>
      <w:rPr>
        <w:rFonts w:hint="default"/>
        <w:lang w:val="zh-TW" w:eastAsia="zh-TW" w:bidi="zh-TW"/>
      </w:rPr>
    </w:lvl>
    <w:lvl w:ilvl="7" w:tentative="0">
      <w:start w:val="0"/>
      <w:numFmt w:val="bullet"/>
      <w:lvlText w:val="•"/>
      <w:lvlJc w:val="left"/>
      <w:pPr>
        <w:ind w:left="7176" w:hanging="601"/>
      </w:pPr>
      <w:rPr>
        <w:rFonts w:hint="default"/>
        <w:lang w:val="zh-TW" w:eastAsia="zh-TW" w:bidi="zh-TW"/>
      </w:rPr>
    </w:lvl>
    <w:lvl w:ilvl="8" w:tentative="0">
      <w:start w:val="0"/>
      <w:numFmt w:val="bullet"/>
      <w:lvlText w:val="•"/>
      <w:lvlJc w:val="left"/>
      <w:pPr>
        <w:ind w:left="8093" w:hanging="601"/>
      </w:pPr>
      <w:rPr>
        <w:rFonts w:hint="default"/>
        <w:lang w:val="zh-TW" w:eastAsia="zh-TW" w:bidi="zh-TW"/>
      </w:rPr>
    </w:lvl>
  </w:abstractNum>
  <w:abstractNum w:abstractNumId="4">
    <w:nsid w:val="CF092B84"/>
    <w:multiLevelType w:val="multilevel"/>
    <w:tmpl w:val="CF092B84"/>
    <w:lvl w:ilvl="0" w:tentative="0">
      <w:start w:val="1"/>
      <w:numFmt w:val="decimal"/>
      <w:lvlText w:val="%1."/>
      <w:lvlJc w:val="left"/>
      <w:pPr>
        <w:ind w:left="522" w:hanging="360"/>
        <w:jc w:val="left"/>
      </w:pPr>
      <w:rPr>
        <w:rFonts w:hint="default" w:ascii="Times New Roman" w:hAnsi="Times New Roman" w:eastAsia="Times New Roman" w:cs="Times New Roman"/>
        <w:spacing w:val="-15"/>
        <w:w w:val="100"/>
        <w:sz w:val="24"/>
        <w:szCs w:val="24"/>
        <w:lang w:val="zh-TW" w:eastAsia="zh-TW" w:bidi="zh-TW"/>
      </w:rPr>
    </w:lvl>
    <w:lvl w:ilvl="1" w:tentative="0">
      <w:start w:val="1"/>
      <w:numFmt w:val="decimal"/>
      <w:lvlText w:val="（%2）"/>
      <w:lvlJc w:val="left"/>
      <w:pPr>
        <w:ind w:left="1120" w:hanging="601"/>
        <w:jc w:val="left"/>
      </w:pPr>
      <w:rPr>
        <w:rFonts w:hint="default" w:ascii="PMingLiU" w:hAnsi="PMingLiU" w:eastAsia="PMingLiU" w:cs="PMingLiU"/>
        <w:w w:val="100"/>
        <w:sz w:val="22"/>
        <w:szCs w:val="22"/>
        <w:lang w:val="zh-TW" w:eastAsia="zh-TW" w:bidi="zh-TW"/>
      </w:rPr>
    </w:lvl>
    <w:lvl w:ilvl="2" w:tentative="0">
      <w:start w:val="0"/>
      <w:numFmt w:val="bullet"/>
      <w:lvlText w:val="•"/>
      <w:lvlJc w:val="left"/>
      <w:pPr>
        <w:ind w:left="2098" w:hanging="601"/>
      </w:pPr>
      <w:rPr>
        <w:rFonts w:hint="default"/>
        <w:lang w:val="zh-TW" w:eastAsia="zh-TW" w:bidi="zh-TW"/>
      </w:rPr>
    </w:lvl>
    <w:lvl w:ilvl="3" w:tentative="0">
      <w:start w:val="0"/>
      <w:numFmt w:val="bullet"/>
      <w:lvlText w:val="•"/>
      <w:lvlJc w:val="left"/>
      <w:pPr>
        <w:ind w:left="3076" w:hanging="601"/>
      </w:pPr>
      <w:rPr>
        <w:rFonts w:hint="default"/>
        <w:lang w:val="zh-TW" w:eastAsia="zh-TW" w:bidi="zh-TW"/>
      </w:rPr>
    </w:lvl>
    <w:lvl w:ilvl="4" w:tentative="0">
      <w:start w:val="0"/>
      <w:numFmt w:val="bullet"/>
      <w:lvlText w:val="•"/>
      <w:lvlJc w:val="left"/>
      <w:pPr>
        <w:ind w:left="4055" w:hanging="601"/>
      </w:pPr>
      <w:rPr>
        <w:rFonts w:hint="default"/>
        <w:lang w:val="zh-TW" w:eastAsia="zh-TW" w:bidi="zh-TW"/>
      </w:rPr>
    </w:lvl>
    <w:lvl w:ilvl="5" w:tentative="0">
      <w:start w:val="0"/>
      <w:numFmt w:val="bullet"/>
      <w:lvlText w:val="•"/>
      <w:lvlJc w:val="left"/>
      <w:pPr>
        <w:ind w:left="5033" w:hanging="601"/>
      </w:pPr>
      <w:rPr>
        <w:rFonts w:hint="default"/>
        <w:lang w:val="zh-TW" w:eastAsia="zh-TW" w:bidi="zh-TW"/>
      </w:rPr>
    </w:lvl>
    <w:lvl w:ilvl="6" w:tentative="0">
      <w:start w:val="0"/>
      <w:numFmt w:val="bullet"/>
      <w:lvlText w:val="•"/>
      <w:lvlJc w:val="left"/>
      <w:pPr>
        <w:ind w:left="6012" w:hanging="601"/>
      </w:pPr>
      <w:rPr>
        <w:rFonts w:hint="default"/>
        <w:lang w:val="zh-TW" w:eastAsia="zh-TW" w:bidi="zh-TW"/>
      </w:rPr>
    </w:lvl>
    <w:lvl w:ilvl="7" w:tentative="0">
      <w:start w:val="0"/>
      <w:numFmt w:val="bullet"/>
      <w:lvlText w:val="•"/>
      <w:lvlJc w:val="left"/>
      <w:pPr>
        <w:ind w:left="6990" w:hanging="601"/>
      </w:pPr>
      <w:rPr>
        <w:rFonts w:hint="default"/>
        <w:lang w:val="zh-TW" w:eastAsia="zh-TW" w:bidi="zh-TW"/>
      </w:rPr>
    </w:lvl>
    <w:lvl w:ilvl="8" w:tentative="0">
      <w:start w:val="0"/>
      <w:numFmt w:val="bullet"/>
      <w:lvlText w:val="•"/>
      <w:lvlJc w:val="left"/>
      <w:pPr>
        <w:ind w:left="7969" w:hanging="601"/>
      </w:pPr>
      <w:rPr>
        <w:rFonts w:hint="default"/>
        <w:lang w:val="zh-TW" w:eastAsia="zh-TW" w:bidi="zh-TW"/>
      </w:rPr>
    </w:lvl>
  </w:abstractNum>
  <w:abstractNum w:abstractNumId="5">
    <w:nsid w:val="0248C179"/>
    <w:multiLevelType w:val="multilevel"/>
    <w:tmpl w:val="0248C179"/>
    <w:lvl w:ilvl="0" w:tentative="0">
      <w:start w:val="1"/>
      <w:numFmt w:val="lowerLetter"/>
      <w:lvlText w:val="%1)"/>
      <w:lvlJc w:val="left"/>
      <w:pPr>
        <w:ind w:left="1438" w:hanging="425"/>
        <w:jc w:val="left"/>
      </w:pPr>
      <w:rPr>
        <w:rFonts w:hint="default" w:ascii="Times New Roman" w:hAnsi="Times New Roman" w:eastAsia="Times New Roman" w:cs="Times New Roman"/>
        <w:spacing w:val="-16"/>
        <w:w w:val="100"/>
        <w:sz w:val="24"/>
        <w:szCs w:val="24"/>
        <w:lang w:val="zh-TW" w:eastAsia="zh-TW" w:bidi="zh-TW"/>
      </w:rPr>
    </w:lvl>
    <w:lvl w:ilvl="1" w:tentative="0">
      <w:start w:val="0"/>
      <w:numFmt w:val="bullet"/>
      <w:lvlText w:val="•"/>
      <w:lvlJc w:val="left"/>
      <w:pPr>
        <w:ind w:left="2288" w:hanging="425"/>
      </w:pPr>
      <w:rPr>
        <w:rFonts w:hint="default"/>
        <w:lang w:val="zh-TW" w:eastAsia="zh-TW" w:bidi="zh-TW"/>
      </w:rPr>
    </w:lvl>
    <w:lvl w:ilvl="2" w:tentative="0">
      <w:start w:val="0"/>
      <w:numFmt w:val="bullet"/>
      <w:lvlText w:val="•"/>
      <w:lvlJc w:val="left"/>
      <w:pPr>
        <w:ind w:left="3137" w:hanging="425"/>
      </w:pPr>
      <w:rPr>
        <w:rFonts w:hint="default"/>
        <w:lang w:val="zh-TW" w:eastAsia="zh-TW" w:bidi="zh-TW"/>
      </w:rPr>
    </w:lvl>
    <w:lvl w:ilvl="3" w:tentative="0">
      <w:start w:val="0"/>
      <w:numFmt w:val="bullet"/>
      <w:lvlText w:val="•"/>
      <w:lvlJc w:val="left"/>
      <w:pPr>
        <w:ind w:left="3985" w:hanging="425"/>
      </w:pPr>
      <w:rPr>
        <w:rFonts w:hint="default"/>
        <w:lang w:val="zh-TW" w:eastAsia="zh-TW" w:bidi="zh-TW"/>
      </w:rPr>
    </w:lvl>
    <w:lvl w:ilvl="4" w:tentative="0">
      <w:start w:val="0"/>
      <w:numFmt w:val="bullet"/>
      <w:lvlText w:val="•"/>
      <w:lvlJc w:val="left"/>
      <w:pPr>
        <w:ind w:left="4834" w:hanging="425"/>
      </w:pPr>
      <w:rPr>
        <w:rFonts w:hint="default"/>
        <w:lang w:val="zh-TW" w:eastAsia="zh-TW" w:bidi="zh-TW"/>
      </w:rPr>
    </w:lvl>
    <w:lvl w:ilvl="5" w:tentative="0">
      <w:start w:val="0"/>
      <w:numFmt w:val="bullet"/>
      <w:lvlText w:val="•"/>
      <w:lvlJc w:val="left"/>
      <w:pPr>
        <w:ind w:left="5683" w:hanging="425"/>
      </w:pPr>
      <w:rPr>
        <w:rFonts w:hint="default"/>
        <w:lang w:val="zh-TW" w:eastAsia="zh-TW" w:bidi="zh-TW"/>
      </w:rPr>
    </w:lvl>
    <w:lvl w:ilvl="6" w:tentative="0">
      <w:start w:val="0"/>
      <w:numFmt w:val="bullet"/>
      <w:lvlText w:val="•"/>
      <w:lvlJc w:val="left"/>
      <w:pPr>
        <w:ind w:left="6531" w:hanging="425"/>
      </w:pPr>
      <w:rPr>
        <w:rFonts w:hint="default"/>
        <w:lang w:val="zh-TW" w:eastAsia="zh-TW" w:bidi="zh-TW"/>
      </w:rPr>
    </w:lvl>
    <w:lvl w:ilvl="7" w:tentative="0">
      <w:start w:val="0"/>
      <w:numFmt w:val="bullet"/>
      <w:lvlText w:val="•"/>
      <w:lvlJc w:val="left"/>
      <w:pPr>
        <w:ind w:left="7380" w:hanging="425"/>
      </w:pPr>
      <w:rPr>
        <w:rFonts w:hint="default"/>
        <w:lang w:val="zh-TW" w:eastAsia="zh-TW" w:bidi="zh-TW"/>
      </w:rPr>
    </w:lvl>
    <w:lvl w:ilvl="8" w:tentative="0">
      <w:start w:val="0"/>
      <w:numFmt w:val="bullet"/>
      <w:lvlText w:val="•"/>
      <w:lvlJc w:val="left"/>
      <w:pPr>
        <w:ind w:left="8229" w:hanging="425"/>
      </w:pPr>
      <w:rPr>
        <w:rFonts w:hint="default"/>
        <w:lang w:val="zh-TW" w:eastAsia="zh-TW" w:bidi="zh-TW"/>
      </w:rPr>
    </w:lvl>
  </w:abstractNum>
  <w:abstractNum w:abstractNumId="6">
    <w:nsid w:val="03D62ECE"/>
    <w:multiLevelType w:val="multilevel"/>
    <w:tmpl w:val="03D62ECE"/>
    <w:lvl w:ilvl="0" w:tentative="0">
      <w:start w:val="1"/>
      <w:numFmt w:val="decimal"/>
      <w:lvlText w:val="%1."/>
      <w:lvlJc w:val="left"/>
      <w:pPr>
        <w:ind w:left="522" w:hanging="360"/>
        <w:jc w:val="left"/>
      </w:pPr>
      <w:rPr>
        <w:rFonts w:hint="default" w:ascii="Times New Roman" w:hAnsi="Times New Roman" w:eastAsia="Times New Roman" w:cs="Times New Roman"/>
        <w:spacing w:val="-123"/>
        <w:w w:val="100"/>
        <w:sz w:val="24"/>
        <w:szCs w:val="24"/>
        <w:lang w:val="zh-TW" w:eastAsia="zh-TW" w:bidi="zh-TW"/>
      </w:rPr>
    </w:lvl>
    <w:lvl w:ilvl="1" w:tentative="0">
      <w:start w:val="1"/>
      <w:numFmt w:val="decimal"/>
      <w:lvlText w:val="%1.%2"/>
      <w:lvlJc w:val="left"/>
      <w:pPr>
        <w:ind w:left="1002" w:hanging="480"/>
        <w:jc w:val="left"/>
      </w:pPr>
      <w:rPr>
        <w:rFonts w:hint="default" w:ascii="Times New Roman" w:hAnsi="Times New Roman" w:eastAsia="Times New Roman" w:cs="Times New Roman"/>
        <w:spacing w:val="-15"/>
        <w:w w:val="100"/>
        <w:sz w:val="24"/>
        <w:szCs w:val="24"/>
        <w:lang w:val="zh-TW" w:eastAsia="zh-TW" w:bidi="zh-TW"/>
      </w:rPr>
    </w:lvl>
    <w:lvl w:ilvl="2" w:tentative="0">
      <w:start w:val="0"/>
      <w:numFmt w:val="bullet"/>
      <w:lvlText w:val=""/>
      <w:lvlJc w:val="left"/>
      <w:pPr>
        <w:ind w:left="1438" w:hanging="425"/>
      </w:pPr>
      <w:rPr>
        <w:rFonts w:hint="default" w:ascii="Wingdings" w:hAnsi="Wingdings" w:eastAsia="Wingdings" w:cs="Wingdings"/>
        <w:w w:val="100"/>
        <w:sz w:val="24"/>
        <w:szCs w:val="24"/>
        <w:lang w:val="zh-TW" w:eastAsia="zh-TW" w:bidi="zh-TW"/>
      </w:rPr>
    </w:lvl>
    <w:lvl w:ilvl="3" w:tentative="0">
      <w:start w:val="0"/>
      <w:numFmt w:val="bullet"/>
      <w:lvlText w:val="•"/>
      <w:lvlJc w:val="left"/>
      <w:pPr>
        <w:ind w:left="1440" w:hanging="425"/>
      </w:pPr>
      <w:rPr>
        <w:rFonts w:hint="default"/>
        <w:lang w:val="zh-TW" w:eastAsia="zh-TW" w:bidi="zh-TW"/>
      </w:rPr>
    </w:lvl>
    <w:lvl w:ilvl="4" w:tentative="0">
      <w:start w:val="0"/>
      <w:numFmt w:val="bullet"/>
      <w:lvlText w:val="•"/>
      <w:lvlJc w:val="left"/>
      <w:pPr>
        <w:ind w:left="2652" w:hanging="425"/>
      </w:pPr>
      <w:rPr>
        <w:rFonts w:hint="default"/>
        <w:lang w:val="zh-TW" w:eastAsia="zh-TW" w:bidi="zh-TW"/>
      </w:rPr>
    </w:lvl>
    <w:lvl w:ilvl="5" w:tentative="0">
      <w:start w:val="0"/>
      <w:numFmt w:val="bullet"/>
      <w:lvlText w:val="•"/>
      <w:lvlJc w:val="left"/>
      <w:pPr>
        <w:ind w:left="3864" w:hanging="425"/>
      </w:pPr>
      <w:rPr>
        <w:rFonts w:hint="default"/>
        <w:lang w:val="zh-TW" w:eastAsia="zh-TW" w:bidi="zh-TW"/>
      </w:rPr>
    </w:lvl>
    <w:lvl w:ilvl="6" w:tentative="0">
      <w:start w:val="0"/>
      <w:numFmt w:val="bullet"/>
      <w:lvlText w:val="•"/>
      <w:lvlJc w:val="left"/>
      <w:pPr>
        <w:ind w:left="5077" w:hanging="425"/>
      </w:pPr>
      <w:rPr>
        <w:rFonts w:hint="default"/>
        <w:lang w:val="zh-TW" w:eastAsia="zh-TW" w:bidi="zh-TW"/>
      </w:rPr>
    </w:lvl>
    <w:lvl w:ilvl="7" w:tentative="0">
      <w:start w:val="0"/>
      <w:numFmt w:val="bullet"/>
      <w:lvlText w:val="•"/>
      <w:lvlJc w:val="left"/>
      <w:pPr>
        <w:ind w:left="6289" w:hanging="425"/>
      </w:pPr>
      <w:rPr>
        <w:rFonts w:hint="default"/>
        <w:lang w:val="zh-TW" w:eastAsia="zh-TW" w:bidi="zh-TW"/>
      </w:rPr>
    </w:lvl>
    <w:lvl w:ilvl="8" w:tentative="0">
      <w:start w:val="0"/>
      <w:numFmt w:val="bullet"/>
      <w:lvlText w:val="•"/>
      <w:lvlJc w:val="left"/>
      <w:pPr>
        <w:ind w:left="7501" w:hanging="425"/>
      </w:pPr>
      <w:rPr>
        <w:rFonts w:hint="default"/>
        <w:lang w:val="zh-TW" w:eastAsia="zh-TW" w:bidi="zh-TW"/>
      </w:rPr>
    </w:lvl>
  </w:abstractNum>
  <w:abstractNum w:abstractNumId="7">
    <w:nsid w:val="25B654F3"/>
    <w:multiLevelType w:val="multilevel"/>
    <w:tmpl w:val="25B654F3"/>
    <w:lvl w:ilvl="0" w:tentative="0">
      <w:start w:val="1"/>
      <w:numFmt w:val="lowerLetter"/>
      <w:lvlText w:val="%1)"/>
      <w:lvlJc w:val="left"/>
      <w:pPr>
        <w:ind w:left="1438" w:hanging="425"/>
        <w:jc w:val="left"/>
      </w:pPr>
      <w:rPr>
        <w:rFonts w:hint="default" w:ascii="Times New Roman" w:hAnsi="Times New Roman" w:eastAsia="Times New Roman" w:cs="Times New Roman"/>
        <w:spacing w:val="-4"/>
        <w:w w:val="99"/>
        <w:sz w:val="24"/>
        <w:szCs w:val="24"/>
        <w:lang w:val="zh-TW" w:eastAsia="zh-TW" w:bidi="zh-TW"/>
      </w:rPr>
    </w:lvl>
    <w:lvl w:ilvl="1" w:tentative="0">
      <w:start w:val="0"/>
      <w:numFmt w:val="bullet"/>
      <w:lvlText w:val="•"/>
      <w:lvlJc w:val="left"/>
      <w:pPr>
        <w:ind w:left="2288" w:hanging="425"/>
      </w:pPr>
      <w:rPr>
        <w:rFonts w:hint="default"/>
        <w:lang w:val="zh-TW" w:eastAsia="zh-TW" w:bidi="zh-TW"/>
      </w:rPr>
    </w:lvl>
    <w:lvl w:ilvl="2" w:tentative="0">
      <w:start w:val="0"/>
      <w:numFmt w:val="bullet"/>
      <w:lvlText w:val="•"/>
      <w:lvlJc w:val="left"/>
      <w:pPr>
        <w:ind w:left="3137" w:hanging="425"/>
      </w:pPr>
      <w:rPr>
        <w:rFonts w:hint="default"/>
        <w:lang w:val="zh-TW" w:eastAsia="zh-TW" w:bidi="zh-TW"/>
      </w:rPr>
    </w:lvl>
    <w:lvl w:ilvl="3" w:tentative="0">
      <w:start w:val="0"/>
      <w:numFmt w:val="bullet"/>
      <w:lvlText w:val="•"/>
      <w:lvlJc w:val="left"/>
      <w:pPr>
        <w:ind w:left="3985" w:hanging="425"/>
      </w:pPr>
      <w:rPr>
        <w:rFonts w:hint="default"/>
        <w:lang w:val="zh-TW" w:eastAsia="zh-TW" w:bidi="zh-TW"/>
      </w:rPr>
    </w:lvl>
    <w:lvl w:ilvl="4" w:tentative="0">
      <w:start w:val="0"/>
      <w:numFmt w:val="bullet"/>
      <w:lvlText w:val="•"/>
      <w:lvlJc w:val="left"/>
      <w:pPr>
        <w:ind w:left="4834" w:hanging="425"/>
      </w:pPr>
      <w:rPr>
        <w:rFonts w:hint="default"/>
        <w:lang w:val="zh-TW" w:eastAsia="zh-TW" w:bidi="zh-TW"/>
      </w:rPr>
    </w:lvl>
    <w:lvl w:ilvl="5" w:tentative="0">
      <w:start w:val="0"/>
      <w:numFmt w:val="bullet"/>
      <w:lvlText w:val="•"/>
      <w:lvlJc w:val="left"/>
      <w:pPr>
        <w:ind w:left="5683" w:hanging="425"/>
      </w:pPr>
      <w:rPr>
        <w:rFonts w:hint="default"/>
        <w:lang w:val="zh-TW" w:eastAsia="zh-TW" w:bidi="zh-TW"/>
      </w:rPr>
    </w:lvl>
    <w:lvl w:ilvl="6" w:tentative="0">
      <w:start w:val="0"/>
      <w:numFmt w:val="bullet"/>
      <w:lvlText w:val="•"/>
      <w:lvlJc w:val="left"/>
      <w:pPr>
        <w:ind w:left="6531" w:hanging="425"/>
      </w:pPr>
      <w:rPr>
        <w:rFonts w:hint="default"/>
        <w:lang w:val="zh-TW" w:eastAsia="zh-TW" w:bidi="zh-TW"/>
      </w:rPr>
    </w:lvl>
    <w:lvl w:ilvl="7" w:tentative="0">
      <w:start w:val="0"/>
      <w:numFmt w:val="bullet"/>
      <w:lvlText w:val="•"/>
      <w:lvlJc w:val="left"/>
      <w:pPr>
        <w:ind w:left="7380" w:hanging="425"/>
      </w:pPr>
      <w:rPr>
        <w:rFonts w:hint="default"/>
        <w:lang w:val="zh-TW" w:eastAsia="zh-TW" w:bidi="zh-TW"/>
      </w:rPr>
    </w:lvl>
    <w:lvl w:ilvl="8" w:tentative="0">
      <w:start w:val="0"/>
      <w:numFmt w:val="bullet"/>
      <w:lvlText w:val="•"/>
      <w:lvlJc w:val="left"/>
      <w:pPr>
        <w:ind w:left="8229" w:hanging="425"/>
      </w:pPr>
      <w:rPr>
        <w:rFonts w:hint="default"/>
        <w:lang w:val="zh-TW" w:eastAsia="zh-TW" w:bidi="zh-TW"/>
      </w:rPr>
    </w:lvl>
  </w:abstractNum>
  <w:abstractNum w:abstractNumId="8">
    <w:nsid w:val="2A8F537B"/>
    <w:multiLevelType w:val="multilevel"/>
    <w:tmpl w:val="2A8F537B"/>
    <w:lvl w:ilvl="0" w:tentative="0">
      <w:start w:val="1"/>
      <w:numFmt w:val="decimal"/>
      <w:lvlText w:val="%1."/>
      <w:lvlJc w:val="left"/>
      <w:pPr>
        <w:ind w:left="42" w:hanging="363"/>
        <w:jc w:val="left"/>
      </w:pPr>
      <w:rPr>
        <w:rFonts w:hint="default" w:ascii="Verdana" w:hAnsi="Verdana" w:eastAsia="Verdana" w:cs="Verdana"/>
        <w:w w:val="100"/>
        <w:sz w:val="24"/>
        <w:szCs w:val="24"/>
        <w:lang w:val="zh-TW" w:eastAsia="zh-TW" w:bidi="zh-TW"/>
      </w:rPr>
    </w:lvl>
    <w:lvl w:ilvl="1" w:tentative="0">
      <w:start w:val="0"/>
      <w:numFmt w:val="bullet"/>
      <w:lvlText w:val="•"/>
      <w:lvlJc w:val="left"/>
      <w:pPr>
        <w:ind w:left="491" w:hanging="363"/>
      </w:pPr>
      <w:rPr>
        <w:rFonts w:hint="default"/>
        <w:lang w:val="zh-TW" w:eastAsia="zh-TW" w:bidi="zh-TW"/>
      </w:rPr>
    </w:lvl>
    <w:lvl w:ilvl="2" w:tentative="0">
      <w:start w:val="0"/>
      <w:numFmt w:val="bullet"/>
      <w:lvlText w:val="•"/>
      <w:lvlJc w:val="left"/>
      <w:pPr>
        <w:ind w:left="942" w:hanging="363"/>
      </w:pPr>
      <w:rPr>
        <w:rFonts w:hint="default"/>
        <w:lang w:val="zh-TW" w:eastAsia="zh-TW" w:bidi="zh-TW"/>
      </w:rPr>
    </w:lvl>
    <w:lvl w:ilvl="3" w:tentative="0">
      <w:start w:val="0"/>
      <w:numFmt w:val="bullet"/>
      <w:lvlText w:val="•"/>
      <w:lvlJc w:val="left"/>
      <w:pPr>
        <w:ind w:left="1393" w:hanging="363"/>
      </w:pPr>
      <w:rPr>
        <w:rFonts w:hint="default"/>
        <w:lang w:val="zh-TW" w:eastAsia="zh-TW" w:bidi="zh-TW"/>
      </w:rPr>
    </w:lvl>
    <w:lvl w:ilvl="4" w:tentative="0">
      <w:start w:val="0"/>
      <w:numFmt w:val="bullet"/>
      <w:lvlText w:val="•"/>
      <w:lvlJc w:val="left"/>
      <w:pPr>
        <w:ind w:left="1844" w:hanging="363"/>
      </w:pPr>
      <w:rPr>
        <w:rFonts w:hint="default"/>
        <w:lang w:val="zh-TW" w:eastAsia="zh-TW" w:bidi="zh-TW"/>
      </w:rPr>
    </w:lvl>
    <w:lvl w:ilvl="5" w:tentative="0">
      <w:start w:val="0"/>
      <w:numFmt w:val="bullet"/>
      <w:lvlText w:val="•"/>
      <w:lvlJc w:val="left"/>
      <w:pPr>
        <w:ind w:left="2295" w:hanging="363"/>
      </w:pPr>
      <w:rPr>
        <w:rFonts w:hint="default"/>
        <w:lang w:val="zh-TW" w:eastAsia="zh-TW" w:bidi="zh-TW"/>
      </w:rPr>
    </w:lvl>
    <w:lvl w:ilvl="6" w:tentative="0">
      <w:start w:val="0"/>
      <w:numFmt w:val="bullet"/>
      <w:lvlText w:val="•"/>
      <w:lvlJc w:val="left"/>
      <w:pPr>
        <w:ind w:left="2746" w:hanging="363"/>
      </w:pPr>
      <w:rPr>
        <w:rFonts w:hint="default"/>
        <w:lang w:val="zh-TW" w:eastAsia="zh-TW" w:bidi="zh-TW"/>
      </w:rPr>
    </w:lvl>
    <w:lvl w:ilvl="7" w:tentative="0">
      <w:start w:val="0"/>
      <w:numFmt w:val="bullet"/>
      <w:lvlText w:val="•"/>
      <w:lvlJc w:val="left"/>
      <w:pPr>
        <w:ind w:left="3197" w:hanging="363"/>
      </w:pPr>
      <w:rPr>
        <w:rFonts w:hint="default"/>
        <w:lang w:val="zh-TW" w:eastAsia="zh-TW" w:bidi="zh-TW"/>
      </w:rPr>
    </w:lvl>
    <w:lvl w:ilvl="8" w:tentative="0">
      <w:start w:val="0"/>
      <w:numFmt w:val="bullet"/>
      <w:lvlText w:val="•"/>
      <w:lvlJc w:val="left"/>
      <w:pPr>
        <w:ind w:left="3648" w:hanging="363"/>
      </w:pPr>
      <w:rPr>
        <w:rFonts w:hint="default"/>
        <w:lang w:val="zh-TW" w:eastAsia="zh-TW" w:bidi="zh-TW"/>
      </w:rPr>
    </w:lvl>
  </w:abstractNum>
  <w:abstractNum w:abstractNumId="9">
    <w:nsid w:val="59ADCABA"/>
    <w:multiLevelType w:val="multilevel"/>
    <w:tmpl w:val="59ADCABA"/>
    <w:lvl w:ilvl="0" w:tentative="0">
      <w:start w:val="1"/>
      <w:numFmt w:val="decimal"/>
      <w:lvlText w:val="（%1）"/>
      <w:lvlJc w:val="left"/>
      <w:pPr>
        <w:ind w:left="1120" w:hanging="601"/>
        <w:jc w:val="left"/>
      </w:pPr>
      <w:rPr>
        <w:rFonts w:hint="default" w:ascii="PMingLiU" w:hAnsi="PMingLiU" w:eastAsia="PMingLiU" w:cs="PMingLiU"/>
        <w:w w:val="100"/>
        <w:sz w:val="22"/>
        <w:szCs w:val="22"/>
        <w:lang w:val="zh-TW" w:eastAsia="zh-TW" w:bidi="zh-TW"/>
      </w:rPr>
    </w:lvl>
    <w:lvl w:ilvl="1" w:tentative="0">
      <w:start w:val="0"/>
      <w:numFmt w:val="bullet"/>
      <w:lvlText w:val="•"/>
      <w:lvlJc w:val="left"/>
      <w:pPr>
        <w:ind w:left="2000" w:hanging="601"/>
      </w:pPr>
      <w:rPr>
        <w:rFonts w:hint="default"/>
        <w:lang w:val="zh-TW" w:eastAsia="zh-TW" w:bidi="zh-TW"/>
      </w:rPr>
    </w:lvl>
    <w:lvl w:ilvl="2" w:tentative="0">
      <w:start w:val="0"/>
      <w:numFmt w:val="bullet"/>
      <w:lvlText w:val="•"/>
      <w:lvlJc w:val="left"/>
      <w:pPr>
        <w:ind w:left="2881" w:hanging="601"/>
      </w:pPr>
      <w:rPr>
        <w:rFonts w:hint="default"/>
        <w:lang w:val="zh-TW" w:eastAsia="zh-TW" w:bidi="zh-TW"/>
      </w:rPr>
    </w:lvl>
    <w:lvl w:ilvl="3" w:tentative="0">
      <w:start w:val="0"/>
      <w:numFmt w:val="bullet"/>
      <w:lvlText w:val="•"/>
      <w:lvlJc w:val="left"/>
      <w:pPr>
        <w:ind w:left="3761" w:hanging="601"/>
      </w:pPr>
      <w:rPr>
        <w:rFonts w:hint="default"/>
        <w:lang w:val="zh-TW" w:eastAsia="zh-TW" w:bidi="zh-TW"/>
      </w:rPr>
    </w:lvl>
    <w:lvl w:ilvl="4" w:tentative="0">
      <w:start w:val="0"/>
      <w:numFmt w:val="bullet"/>
      <w:lvlText w:val="•"/>
      <w:lvlJc w:val="left"/>
      <w:pPr>
        <w:ind w:left="4642" w:hanging="601"/>
      </w:pPr>
      <w:rPr>
        <w:rFonts w:hint="default"/>
        <w:lang w:val="zh-TW" w:eastAsia="zh-TW" w:bidi="zh-TW"/>
      </w:rPr>
    </w:lvl>
    <w:lvl w:ilvl="5" w:tentative="0">
      <w:start w:val="0"/>
      <w:numFmt w:val="bullet"/>
      <w:lvlText w:val="•"/>
      <w:lvlJc w:val="left"/>
      <w:pPr>
        <w:ind w:left="5523" w:hanging="601"/>
      </w:pPr>
      <w:rPr>
        <w:rFonts w:hint="default"/>
        <w:lang w:val="zh-TW" w:eastAsia="zh-TW" w:bidi="zh-TW"/>
      </w:rPr>
    </w:lvl>
    <w:lvl w:ilvl="6" w:tentative="0">
      <w:start w:val="0"/>
      <w:numFmt w:val="bullet"/>
      <w:lvlText w:val="•"/>
      <w:lvlJc w:val="left"/>
      <w:pPr>
        <w:ind w:left="6403" w:hanging="601"/>
      </w:pPr>
      <w:rPr>
        <w:rFonts w:hint="default"/>
        <w:lang w:val="zh-TW" w:eastAsia="zh-TW" w:bidi="zh-TW"/>
      </w:rPr>
    </w:lvl>
    <w:lvl w:ilvl="7" w:tentative="0">
      <w:start w:val="0"/>
      <w:numFmt w:val="bullet"/>
      <w:lvlText w:val="•"/>
      <w:lvlJc w:val="left"/>
      <w:pPr>
        <w:ind w:left="7284" w:hanging="601"/>
      </w:pPr>
      <w:rPr>
        <w:rFonts w:hint="default"/>
        <w:lang w:val="zh-TW" w:eastAsia="zh-TW" w:bidi="zh-TW"/>
      </w:rPr>
    </w:lvl>
    <w:lvl w:ilvl="8" w:tentative="0">
      <w:start w:val="0"/>
      <w:numFmt w:val="bullet"/>
      <w:lvlText w:val="•"/>
      <w:lvlJc w:val="left"/>
      <w:pPr>
        <w:ind w:left="8165" w:hanging="601"/>
      </w:pPr>
      <w:rPr>
        <w:rFonts w:hint="default"/>
        <w:lang w:val="zh-TW" w:eastAsia="zh-TW" w:bidi="zh-TW"/>
      </w:rPr>
    </w:lvl>
  </w:abstractNum>
  <w:abstractNum w:abstractNumId="10">
    <w:nsid w:val="5A241D34"/>
    <w:multiLevelType w:val="multilevel"/>
    <w:tmpl w:val="5A241D34"/>
    <w:lvl w:ilvl="0" w:tentative="0">
      <w:start w:val="1"/>
      <w:numFmt w:val="decimal"/>
      <w:lvlText w:val="%1."/>
      <w:lvlJc w:val="left"/>
      <w:pPr>
        <w:ind w:left="42" w:hanging="360"/>
        <w:jc w:val="left"/>
      </w:pPr>
      <w:rPr>
        <w:rFonts w:hint="default" w:ascii="Verdana" w:hAnsi="Verdana" w:eastAsia="Verdana" w:cs="Verdana"/>
        <w:spacing w:val="0"/>
        <w:w w:val="100"/>
        <w:sz w:val="24"/>
        <w:szCs w:val="24"/>
        <w:lang w:val="zh-TW" w:eastAsia="zh-TW" w:bidi="zh-TW"/>
      </w:rPr>
    </w:lvl>
    <w:lvl w:ilvl="1" w:tentative="0">
      <w:start w:val="0"/>
      <w:numFmt w:val="bullet"/>
      <w:lvlText w:val="•"/>
      <w:lvlJc w:val="left"/>
      <w:pPr>
        <w:ind w:left="491" w:hanging="360"/>
      </w:pPr>
      <w:rPr>
        <w:rFonts w:hint="default"/>
        <w:lang w:val="zh-TW" w:eastAsia="zh-TW" w:bidi="zh-TW"/>
      </w:rPr>
    </w:lvl>
    <w:lvl w:ilvl="2" w:tentative="0">
      <w:start w:val="0"/>
      <w:numFmt w:val="bullet"/>
      <w:lvlText w:val="•"/>
      <w:lvlJc w:val="left"/>
      <w:pPr>
        <w:ind w:left="942" w:hanging="360"/>
      </w:pPr>
      <w:rPr>
        <w:rFonts w:hint="default"/>
        <w:lang w:val="zh-TW" w:eastAsia="zh-TW" w:bidi="zh-TW"/>
      </w:rPr>
    </w:lvl>
    <w:lvl w:ilvl="3" w:tentative="0">
      <w:start w:val="0"/>
      <w:numFmt w:val="bullet"/>
      <w:lvlText w:val="•"/>
      <w:lvlJc w:val="left"/>
      <w:pPr>
        <w:ind w:left="1393" w:hanging="360"/>
      </w:pPr>
      <w:rPr>
        <w:rFonts w:hint="default"/>
        <w:lang w:val="zh-TW" w:eastAsia="zh-TW" w:bidi="zh-TW"/>
      </w:rPr>
    </w:lvl>
    <w:lvl w:ilvl="4" w:tentative="0">
      <w:start w:val="0"/>
      <w:numFmt w:val="bullet"/>
      <w:lvlText w:val="•"/>
      <w:lvlJc w:val="left"/>
      <w:pPr>
        <w:ind w:left="1844" w:hanging="360"/>
      </w:pPr>
      <w:rPr>
        <w:rFonts w:hint="default"/>
        <w:lang w:val="zh-TW" w:eastAsia="zh-TW" w:bidi="zh-TW"/>
      </w:rPr>
    </w:lvl>
    <w:lvl w:ilvl="5" w:tentative="0">
      <w:start w:val="0"/>
      <w:numFmt w:val="bullet"/>
      <w:lvlText w:val="•"/>
      <w:lvlJc w:val="left"/>
      <w:pPr>
        <w:ind w:left="2295" w:hanging="360"/>
      </w:pPr>
      <w:rPr>
        <w:rFonts w:hint="default"/>
        <w:lang w:val="zh-TW" w:eastAsia="zh-TW" w:bidi="zh-TW"/>
      </w:rPr>
    </w:lvl>
    <w:lvl w:ilvl="6" w:tentative="0">
      <w:start w:val="0"/>
      <w:numFmt w:val="bullet"/>
      <w:lvlText w:val="•"/>
      <w:lvlJc w:val="left"/>
      <w:pPr>
        <w:ind w:left="2746" w:hanging="360"/>
      </w:pPr>
      <w:rPr>
        <w:rFonts w:hint="default"/>
        <w:lang w:val="zh-TW" w:eastAsia="zh-TW" w:bidi="zh-TW"/>
      </w:rPr>
    </w:lvl>
    <w:lvl w:ilvl="7" w:tentative="0">
      <w:start w:val="0"/>
      <w:numFmt w:val="bullet"/>
      <w:lvlText w:val="•"/>
      <w:lvlJc w:val="left"/>
      <w:pPr>
        <w:ind w:left="3197" w:hanging="360"/>
      </w:pPr>
      <w:rPr>
        <w:rFonts w:hint="default"/>
        <w:lang w:val="zh-TW" w:eastAsia="zh-TW" w:bidi="zh-TW"/>
      </w:rPr>
    </w:lvl>
    <w:lvl w:ilvl="8" w:tentative="0">
      <w:start w:val="0"/>
      <w:numFmt w:val="bullet"/>
      <w:lvlText w:val="•"/>
      <w:lvlJc w:val="left"/>
      <w:pPr>
        <w:ind w:left="3648" w:hanging="360"/>
      </w:pPr>
      <w:rPr>
        <w:rFonts w:hint="default"/>
        <w:lang w:val="zh-TW" w:eastAsia="zh-TW" w:bidi="zh-TW"/>
      </w:rPr>
    </w:lvl>
  </w:abstractNum>
  <w:abstractNum w:abstractNumId="11">
    <w:nsid w:val="72183CF9"/>
    <w:multiLevelType w:val="multilevel"/>
    <w:tmpl w:val="72183CF9"/>
    <w:lvl w:ilvl="0" w:tentative="0">
      <w:start w:val="1"/>
      <w:numFmt w:val="lowerLetter"/>
      <w:lvlText w:val="%1)"/>
      <w:lvlJc w:val="left"/>
      <w:pPr>
        <w:ind w:left="1438" w:hanging="425"/>
        <w:jc w:val="left"/>
      </w:pPr>
      <w:rPr>
        <w:rFonts w:hint="default" w:ascii="Times New Roman" w:hAnsi="Times New Roman" w:eastAsia="Times New Roman" w:cs="Times New Roman"/>
        <w:spacing w:val="-15"/>
        <w:w w:val="99"/>
        <w:sz w:val="24"/>
        <w:szCs w:val="24"/>
        <w:lang w:val="zh-TW" w:eastAsia="zh-TW" w:bidi="zh-TW"/>
      </w:rPr>
    </w:lvl>
    <w:lvl w:ilvl="1" w:tentative="0">
      <w:start w:val="0"/>
      <w:numFmt w:val="bullet"/>
      <w:lvlText w:val="•"/>
      <w:lvlJc w:val="left"/>
      <w:pPr>
        <w:ind w:left="2288" w:hanging="425"/>
      </w:pPr>
      <w:rPr>
        <w:rFonts w:hint="default"/>
        <w:lang w:val="zh-TW" w:eastAsia="zh-TW" w:bidi="zh-TW"/>
      </w:rPr>
    </w:lvl>
    <w:lvl w:ilvl="2" w:tentative="0">
      <w:start w:val="0"/>
      <w:numFmt w:val="bullet"/>
      <w:lvlText w:val="•"/>
      <w:lvlJc w:val="left"/>
      <w:pPr>
        <w:ind w:left="3137" w:hanging="425"/>
      </w:pPr>
      <w:rPr>
        <w:rFonts w:hint="default"/>
        <w:lang w:val="zh-TW" w:eastAsia="zh-TW" w:bidi="zh-TW"/>
      </w:rPr>
    </w:lvl>
    <w:lvl w:ilvl="3" w:tentative="0">
      <w:start w:val="0"/>
      <w:numFmt w:val="bullet"/>
      <w:lvlText w:val="•"/>
      <w:lvlJc w:val="left"/>
      <w:pPr>
        <w:ind w:left="3985" w:hanging="425"/>
      </w:pPr>
      <w:rPr>
        <w:rFonts w:hint="default"/>
        <w:lang w:val="zh-TW" w:eastAsia="zh-TW" w:bidi="zh-TW"/>
      </w:rPr>
    </w:lvl>
    <w:lvl w:ilvl="4" w:tentative="0">
      <w:start w:val="0"/>
      <w:numFmt w:val="bullet"/>
      <w:lvlText w:val="•"/>
      <w:lvlJc w:val="left"/>
      <w:pPr>
        <w:ind w:left="4834" w:hanging="425"/>
      </w:pPr>
      <w:rPr>
        <w:rFonts w:hint="default"/>
        <w:lang w:val="zh-TW" w:eastAsia="zh-TW" w:bidi="zh-TW"/>
      </w:rPr>
    </w:lvl>
    <w:lvl w:ilvl="5" w:tentative="0">
      <w:start w:val="0"/>
      <w:numFmt w:val="bullet"/>
      <w:lvlText w:val="•"/>
      <w:lvlJc w:val="left"/>
      <w:pPr>
        <w:ind w:left="5683" w:hanging="425"/>
      </w:pPr>
      <w:rPr>
        <w:rFonts w:hint="default"/>
        <w:lang w:val="zh-TW" w:eastAsia="zh-TW" w:bidi="zh-TW"/>
      </w:rPr>
    </w:lvl>
    <w:lvl w:ilvl="6" w:tentative="0">
      <w:start w:val="0"/>
      <w:numFmt w:val="bullet"/>
      <w:lvlText w:val="•"/>
      <w:lvlJc w:val="left"/>
      <w:pPr>
        <w:ind w:left="6531" w:hanging="425"/>
      </w:pPr>
      <w:rPr>
        <w:rFonts w:hint="default"/>
        <w:lang w:val="zh-TW" w:eastAsia="zh-TW" w:bidi="zh-TW"/>
      </w:rPr>
    </w:lvl>
    <w:lvl w:ilvl="7" w:tentative="0">
      <w:start w:val="0"/>
      <w:numFmt w:val="bullet"/>
      <w:lvlText w:val="•"/>
      <w:lvlJc w:val="left"/>
      <w:pPr>
        <w:ind w:left="7380" w:hanging="425"/>
      </w:pPr>
      <w:rPr>
        <w:rFonts w:hint="default"/>
        <w:lang w:val="zh-TW" w:eastAsia="zh-TW" w:bidi="zh-TW"/>
      </w:rPr>
    </w:lvl>
    <w:lvl w:ilvl="8" w:tentative="0">
      <w:start w:val="0"/>
      <w:numFmt w:val="bullet"/>
      <w:lvlText w:val="•"/>
      <w:lvlJc w:val="left"/>
      <w:pPr>
        <w:ind w:left="8229" w:hanging="425"/>
      </w:pPr>
      <w:rPr>
        <w:rFonts w:hint="default"/>
        <w:lang w:val="zh-TW" w:eastAsia="zh-TW" w:bidi="zh-TW"/>
      </w:rPr>
    </w:lvl>
  </w:abstractNum>
  <w:num w:numId="1">
    <w:abstractNumId w:val="4"/>
  </w:num>
  <w:num w:numId="2">
    <w:abstractNumId w:val="9"/>
  </w:num>
  <w:num w:numId="3">
    <w:abstractNumId w:val="2"/>
  </w:num>
  <w:num w:numId="4">
    <w:abstractNumId w:val="1"/>
  </w:num>
  <w:num w:numId="5">
    <w:abstractNumId w:val="6"/>
  </w:num>
  <w:num w:numId="6">
    <w:abstractNumId w:val="7"/>
  </w:num>
  <w:num w:numId="7">
    <w:abstractNumId w:val="11"/>
  </w:num>
  <w:num w:numId="8">
    <w:abstractNumId w:val="5"/>
  </w:num>
  <w:num w:numId="9">
    <w:abstractNumId w:val="0"/>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563F0D1A"/>
    <w:rsid w:val="664F053F"/>
    <w:rsid w:val="76375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zh-TW" w:eastAsia="zh-TW" w:bidi="zh-TW"/>
    </w:rPr>
  </w:style>
  <w:style w:type="paragraph" w:styleId="2">
    <w:name w:val="heading 1"/>
    <w:basedOn w:val="1"/>
    <w:next w:val="1"/>
    <w:qFormat/>
    <w:uiPriority w:val="1"/>
    <w:pPr>
      <w:ind w:left="162"/>
      <w:outlineLvl w:val="1"/>
    </w:pPr>
    <w:rPr>
      <w:rFonts w:ascii="Microsoft JhengHei" w:hAnsi="Microsoft JhengHei" w:eastAsia="Microsoft JhengHei" w:cs="Microsoft JhengHei"/>
      <w:b/>
      <w:bCs/>
      <w:sz w:val="24"/>
      <w:szCs w:val="24"/>
      <w:lang w:val="zh-TW" w:eastAsia="zh-TW" w:bidi="zh-TW"/>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PMingLiU" w:hAnsi="PMingLiU" w:eastAsia="PMingLiU" w:cs="PMingLiU"/>
      <w:sz w:val="24"/>
      <w:szCs w:val="24"/>
      <w:lang w:val="zh-TW" w:eastAsia="zh-TW" w:bidi="zh-TW"/>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438" w:hanging="425"/>
    </w:pPr>
    <w:rPr>
      <w:rFonts w:ascii="PMingLiU" w:hAnsi="PMingLiU" w:eastAsia="PMingLiU" w:cs="PMingLiU"/>
      <w:lang w:val="zh-TW" w:eastAsia="zh-TW" w:bidi="zh-TW"/>
    </w:rPr>
  </w:style>
  <w:style w:type="paragraph" w:customStyle="1" w:styleId="8">
    <w:name w:val="Table Paragraph"/>
    <w:basedOn w:val="1"/>
    <w:qFormat/>
    <w:uiPriority w:val="1"/>
    <w:pPr>
      <w:jc w:val="center"/>
    </w:pPr>
    <w:rPr>
      <w:rFonts w:ascii="PMingLiU" w:hAnsi="PMingLiU" w:eastAsia="PMingLiU" w:cs="PMingLiU"/>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2020-02-06T09:42:00Z</dcterms:created>
  <dc:creator>imhengc</dc:creator>
  <cp:lastModifiedBy>H.</cp:lastModifiedBy>
  <dcterms:modified xsi:type="dcterms:W3CDTF">2020-02-15T15:07:32Z</dcterms:modified>
  <dc:title>房地產中介人須知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2052-11.1.0.9440</vt:lpwstr>
  </property>
</Properties>
</file>